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right="1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Извещение</w:t>
      </w:r>
    </w:p>
    <w:p>
      <w:pPr>
        <w:pStyle w:val="Normal"/>
        <w:ind w:firstLine="708" w:right="168"/>
        <w:jc w:val="center"/>
        <w:rPr>
          <w:b/>
          <w:sz w:val="22"/>
          <w:szCs w:val="22"/>
        </w:rPr>
      </w:pPr>
      <w:bookmarkStart w:id="0" w:name="_Hlk102568137"/>
      <w:r>
        <w:rPr>
          <w:b/>
          <w:sz w:val="22"/>
          <w:szCs w:val="22"/>
        </w:rPr>
        <w:t>о проведении аукциона на право заключения договора аренды</w:t>
      </w:r>
      <w:bookmarkEnd w:id="0"/>
    </w:p>
    <w:p>
      <w:pPr>
        <w:pStyle w:val="Normal"/>
        <w:ind w:firstLine="708" w:right="1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земельного участка</w:t>
      </w:r>
    </w:p>
    <w:p>
      <w:pPr>
        <w:pStyle w:val="NoSpacing"/>
        <w:ind w:hanging="1" w:left="-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Администрация Яковлевского муниципального округа Белгородской области, в соответствии со ст. 39.11, 39.12 и 39.13 Земельного кодекса Российской Федерации, распоряжением администрации Яковлевского муниципального округа Белгородской области </w:t>
      </w:r>
      <w:r>
        <w:rPr>
          <w:rFonts w:ascii="Times New Roman" w:hAnsi="Times New Roman"/>
          <w:bCs/>
        </w:rPr>
        <w:t xml:space="preserve">от 22 апреля 2026 г. № 395-р </w:t>
      </w:r>
      <w:r>
        <w:rPr>
          <w:rFonts w:ascii="Times New Roman" w:hAnsi="Times New Roman"/>
        </w:rPr>
        <w:t>«Об организации и проведении электронного аукциона на право заключения договора аренды земельного участка с кадастровым номером 31:10:0502001:1629» сообщает о проведении аукциона на право заключения договора аренды земельного участка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631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96"/>
        <w:gridCol w:w="3692"/>
        <w:gridCol w:w="6243"/>
      </w:tblGrid>
      <w:tr>
        <w:trPr>
          <w:trHeight w:val="364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Право на заключение договора аренды земельного участка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right="-284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31:10:0502001:1629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Белгородская область, Яковлевский район, г. Строитель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земельного участка определено в соответствии с координатами, содержащимися в сведениях Единого государственного реестра недвижимости. Установление границ земельного участка на местности в соответствии с координатами, содержащимися в сведениях государственного кадастра недвижимости, обеспечивается победителем аукциона в соответствии с требованиями действующего законодательства.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Разрешенное использование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амбулаторно-поликлиническое обслуживание, обеспечение занятий спортом в помещениях, магазины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14 000 кв. м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Обременения (ограничения в использовании)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  <w:shd w:fill="F8F9FA" w:val="clear"/>
              </w:rPr>
              <w:t>В пределах земельного участка расположено сооружение -  подземный газопровод высокого и среднего давления МКР «Сретенский-2» в с. Вислое Яковлевского городского округа (2 очередь)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аренды 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2"/>
                <w:szCs w:val="22"/>
              </w:rPr>
              <w:t>5 лет 6 месяцев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Начальная цена предмета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2 356 889 руб. 00 коп. без учета НДС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Шаг аукциона  (3% начальной цены)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70 706 руб. 67 коп.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Размер задатка (100% начальной цены)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2 356 889 руб. 00 коп.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разрешенного строительства объекта капитального строительства</w:t>
            </w:r>
            <w:r>
              <w:rPr>
                <w:sz w:val="22"/>
                <w:szCs w:val="22"/>
                <w:shd w:fill="FFFFFF" w:val="clear"/>
              </w:rPr>
      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параметрам разрешенного строительства объекта капитального строительства, имеющимся в выписке от 20.03.2026</w:t>
            </w:r>
            <w:r>
              <w:rPr>
                <w:color w:val="auto"/>
                <w:sz w:val="22"/>
                <w:szCs w:val="22"/>
              </w:rPr>
              <w:t xml:space="preserve"> № 71-61-05/35 </w:t>
            </w:r>
            <w:r>
              <w:rPr>
                <w:sz w:val="22"/>
                <w:szCs w:val="22"/>
              </w:rPr>
              <w:t>из информационной системы обеспечения градостроительной деятельности (ИСОГД), предоставленной управлением архитектуры и градостроительства администрации Яковлевского муниципального округа.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(ТУ) подключения объекта к сетям инженерно-технического обеспечения: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газоснабжение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АО «Газпром газораспределение Белгород» филиал в г. Строителе от 16.03.2026. № 30-</w:t>
            </w:r>
            <w:r>
              <w:rPr>
                <w:b w:val="false"/>
                <w:bCs w:val="false"/>
                <w:color w:val="auto"/>
                <w:sz w:val="22"/>
                <w:szCs w:val="22"/>
              </w:rPr>
              <w:t>ЕШ</w:t>
            </w:r>
            <w:r>
              <w:rPr>
                <w:color w:val="auto"/>
                <w:sz w:val="22"/>
                <w:szCs w:val="22"/>
              </w:rPr>
              <w:t>-04/304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Водоснабжение/водоотведение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ГУП «Белоблводоканал» филиала «Западный» от 15.04.2026 № 26-0325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Согласно письму филиала ПАО «Россети Центр»-«Белгородэнерго» от 17.03.2026 г. № МР1-БЛ/Р8-2/55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6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Письмо ООО «Белрегионтеплоэнерго» от 17.03.2026 г. № 142</w:t>
            </w:r>
          </w:p>
        </w:tc>
      </w:tr>
      <w:tr>
        <w:trPr>
          <w:trHeight w:val="353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муниципальная собственность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Место, даты и время начала и окончания приема заявок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Прием заявок на участие в аукционе осуществляется с 0</w:t>
            </w:r>
            <w:r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 xml:space="preserve"> мая 2026 г. с 08 часов 00 минут и прекращается 2</w:t>
            </w:r>
            <w:r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мая 2026 года в 15 часов 00 минут.  </w:t>
            </w:r>
            <w:r>
              <w:rPr>
                <w:sz w:val="22"/>
                <w:szCs w:val="22"/>
              </w:rPr>
              <w:t xml:space="preserve">Место подачи (приема) заявок: электронная площадка </w:t>
            </w:r>
            <w:hyperlink r:id="rId2">
              <w:r>
                <w:rPr>
                  <w:rStyle w:val="Hyperlink"/>
                  <w:sz w:val="22"/>
                  <w:szCs w:val="22"/>
                  <w:lang w:val="en-US"/>
                </w:rPr>
                <w:t>www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rts</w:t>
              </w:r>
              <w:r>
                <w:rPr>
                  <w:rStyle w:val="Hyperlink"/>
                  <w:sz w:val="22"/>
                  <w:szCs w:val="22"/>
                </w:rPr>
                <w:t>-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tender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внесения задатка, банковские реквизиты счета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Получатель ООО "РТС-тендер"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ИНН 7710357167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КПП 773001001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Наименование банка получателя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Филиал "Корпоративный" ПАО "Совкомбанк"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Расчетный счет (казначейский счет)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40702810512030016362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Лицевой счет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БИК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044525360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Корреспондентский счет (ЕКС)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30101810445250000360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Назначение платежа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Срок и порядок внесения задатка: задаток вносится денежными средствами</w:t>
            </w:r>
          </w:p>
          <w:p>
            <w:pPr>
              <w:pStyle w:val="Heading1"/>
              <w:rPr>
                <w:b w:val="false"/>
                <w:color w:themeColor="text1" w:val="000000"/>
                <w:sz w:val="22"/>
                <w:szCs w:val="22"/>
              </w:rPr>
            </w:pPr>
            <w:r>
              <w:rPr>
                <w:b w:val="false"/>
                <w:color w:themeColor="text1" w:val="000000"/>
                <w:sz w:val="22"/>
                <w:szCs w:val="22"/>
              </w:rPr>
              <w:t>Порядок возврата задатка: задаток возвращается в течении трех рабочих дней со дня проведения аукциона на счет заявителя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Информацию по перечислению задатка можно узнать по телефону: +7 (47244) 6-93-42.</w:t>
            </w:r>
          </w:p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Размер тарифа – 1% от начальной цены имущества и не более 7 500 рублей, не включая НДС 22%.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время принятия решения о признании заявителей участниками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Определение участников аукциона проводится без участия заявителей 2</w:t>
            </w:r>
            <w:r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 xml:space="preserve"> мая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2026 года в 15 часов 00 минут. О принятых решениях заявители уведомляются не позднее следующего дня.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время проведения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 xml:space="preserve"> мая 2026  года в 10 часов 00 минут.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площадка </w:t>
            </w:r>
            <w:hyperlink r:id="rId3">
              <w:r>
                <w:rPr>
                  <w:rStyle w:val="Hyperlink"/>
                  <w:sz w:val="22"/>
                  <w:szCs w:val="22"/>
                  <w:lang w:val="en-US"/>
                </w:rPr>
                <w:t>www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rts</w:t>
              </w:r>
              <w:r>
                <w:rPr>
                  <w:rStyle w:val="Hyperlink"/>
                  <w:sz w:val="22"/>
                  <w:szCs w:val="22"/>
                </w:rPr>
                <w:t>-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tender</w:t>
              </w:r>
              <w:r>
                <w:rPr>
                  <w:rStyle w:val="Hyperlink"/>
                  <w:sz w:val="22"/>
                  <w:szCs w:val="22"/>
                </w:rPr>
                <w:t>.</w:t>
              </w:r>
              <w:r>
                <w:rPr>
                  <w:rStyle w:val="Hyperlink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торгов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Электронный аукцион, открытый по составу участников и по форме подачи заявок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Уполномоченный орган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Администрация Яковлевского муниципального округа</w:t>
            </w:r>
          </w:p>
        </w:tc>
      </w:tr>
      <w:tr>
        <w:trPr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Управление имущественных и земельных отношений администрации Яковлевского муниципального округа</w:t>
            </w:r>
          </w:p>
        </w:tc>
      </w:tr>
    </w:tbl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pacing w:val="4"/>
          <w:sz w:val="22"/>
          <w:szCs w:val="22"/>
        </w:rPr>
        <w:t>Извещение о проведении аукциона</w:t>
      </w:r>
      <w:r>
        <w:rPr>
          <w:spacing w:val="4"/>
          <w:sz w:val="22"/>
          <w:szCs w:val="22"/>
        </w:rPr>
        <w:t xml:space="preserve"> размещено </w:t>
      </w:r>
      <w:r>
        <w:rPr>
          <w:sz w:val="22"/>
          <w:szCs w:val="22"/>
        </w:rPr>
        <w:t xml:space="preserve">на официальном сайте Российской Федерации </w:t>
      </w:r>
      <w:hyperlink r:id="rId4"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gov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ru</w:t>
        </w:r>
      </w:hyperlink>
      <w:r>
        <w:rPr>
          <w:b w:val="false"/>
          <w:bCs w:val="false"/>
          <w:sz w:val="22"/>
          <w:szCs w:val="22"/>
          <w:u w:val="none"/>
        </w:rPr>
        <w:t>, в информационно-телекоммуникационной сети «Интернет»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 xml:space="preserve">, на официальном сайте органов местного самоуправления Яковлевского муниципального округа 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www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yakovgo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gosuslugi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rFonts w:eastAsia="Arial Unicode MS"/>
          <w:b w:val="false"/>
          <w:bCs w:val="false"/>
          <w:color w:val="auto"/>
          <w:sz w:val="22"/>
          <w:szCs w:val="22"/>
          <w:u w:val="none"/>
          <w:lang w:val="en-US"/>
        </w:rPr>
        <w:t>ru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>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 w:val="false"/>
          <w:bCs w:val="false"/>
          <w:spacing w:val="4"/>
          <w:sz w:val="22"/>
          <w:szCs w:val="22"/>
          <w:u w:val="none"/>
        </w:rPr>
        <w:t xml:space="preserve">Извещение об отказе в проведении аукциона размещается </w:t>
      </w:r>
      <w:r>
        <w:rPr>
          <w:b w:val="false"/>
          <w:bCs w:val="false"/>
          <w:sz w:val="22"/>
          <w:szCs w:val="22"/>
          <w:u w:val="none"/>
        </w:rPr>
        <w:t xml:space="preserve">на официальном сайте Российской Федерации </w:t>
      </w:r>
      <w:hyperlink r:id="rId5"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www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torgi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gov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</w:rPr>
          <w:t>.</w:t>
        </w:r>
        <w:r>
          <w:rPr>
            <w:rStyle w:val="Hyperlink"/>
            <w:b w:val="false"/>
            <w:bCs w:val="false"/>
            <w:color w:val="auto"/>
            <w:sz w:val="22"/>
            <w:szCs w:val="22"/>
            <w:u w:val="none"/>
            <w:lang w:val="en-US"/>
          </w:rPr>
          <w:t>ru</w:t>
        </w:r>
      </w:hyperlink>
      <w:r>
        <w:rPr>
          <w:b w:val="false"/>
          <w:bCs w:val="false"/>
          <w:sz w:val="22"/>
          <w:szCs w:val="22"/>
          <w:u w:val="none"/>
        </w:rPr>
        <w:t>, в информационно-телекоммуникационной сети «Интернет»</w:t>
      </w:r>
      <w:r>
        <w:rPr>
          <w:rFonts w:eastAsia="Arial Unicode MS"/>
          <w:b w:val="false"/>
          <w:bCs w:val="false"/>
          <w:sz w:val="22"/>
          <w:szCs w:val="22"/>
          <w:u w:val="none"/>
        </w:rPr>
        <w:t xml:space="preserve">, </w:t>
      </w:r>
      <w:r>
        <w:rPr>
          <w:b w:val="false"/>
          <w:bCs w:val="false"/>
          <w:sz w:val="22"/>
          <w:szCs w:val="22"/>
          <w:u w:val="none"/>
        </w:rPr>
        <w:t xml:space="preserve">на официальном сайте органов местного самоуправления Яковлевского муниципального округа 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www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yakovgo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gosuslugi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</w:rPr>
        <w:t>.</w:t>
      </w:r>
      <w:r>
        <w:rPr>
          <w:rStyle w:val="Hyperlink"/>
          <w:b w:val="false"/>
          <w:bCs w:val="false"/>
          <w:color w:val="auto"/>
          <w:sz w:val="22"/>
          <w:szCs w:val="22"/>
          <w:u w:val="none"/>
          <w:lang w:val="en-US"/>
        </w:rPr>
        <w:t>ru</w:t>
      </w:r>
      <w:r>
        <w:rPr>
          <w:b w:val="false"/>
          <w:bCs w:val="false"/>
          <w:sz w:val="22"/>
          <w:szCs w:val="22"/>
          <w:u w:val="none"/>
        </w:rPr>
        <w:t>. Организатор аукциона в течение трех дней со дня принятия решения об отказе в проведении аукциона</w:t>
      </w:r>
      <w:r>
        <w:rPr>
          <w:sz w:val="22"/>
          <w:szCs w:val="22"/>
        </w:rPr>
        <w:t xml:space="preserve"> обязан известить участников аукциона об отказе в проведении аукциона и возвратить его участникам внесенные задатки.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pacing w:val="4"/>
          <w:sz w:val="22"/>
          <w:szCs w:val="22"/>
        </w:rPr>
        <w:t xml:space="preserve">Для участия в аукционе </w:t>
      </w:r>
      <w:r>
        <w:rPr>
          <w:b/>
          <w:sz w:val="22"/>
          <w:szCs w:val="22"/>
        </w:rPr>
        <w:t>заявитель перечисляет задаток.</w:t>
      </w:r>
      <w:r>
        <w:rPr>
          <w:sz w:val="22"/>
          <w:szCs w:val="22"/>
        </w:rPr>
        <w:t xml:space="preserve"> Представление документов, подтверждающих внесение задатка, признается заключением соглашения о задатке.</w:t>
      </w:r>
    </w:p>
    <w:p>
      <w:pPr>
        <w:pStyle w:val="Normal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z w:val="22"/>
          <w:szCs w:val="22"/>
        </w:rPr>
        <w:t xml:space="preserve">Задаток должен поступить на дату и время рассмотрения заявок на участие в аукционе. </w:t>
      </w:r>
      <w:r>
        <w:rPr>
          <w:sz w:val="22"/>
          <w:szCs w:val="22"/>
        </w:rPr>
        <w:t>Оплата задатка считается произведенной после поступления денежных средств на указанный расчетный счет. Документом, подтверждающим поступление задатка на счет, является выписка со счета.</w:t>
      </w:r>
    </w:p>
    <w:p>
      <w:pPr>
        <w:pStyle w:val="Normal"/>
        <w:widowControl w:val="false"/>
        <w:suppressAutoHyphens w:val="true"/>
        <w:bidi w:val="0"/>
        <w:spacing w:before="0" w:after="0"/>
        <w:ind w:hanging="454" w:left="-567" w:right="0"/>
        <w:jc w:val="both"/>
        <w:rPr/>
      </w:pPr>
      <w:r>
        <w:rPr>
          <w:b/>
          <w:sz w:val="22"/>
          <w:szCs w:val="22"/>
        </w:rPr>
        <w:t>Для участия в аукционе заявители представляют следующие документы:</w:t>
      </w:r>
    </w:p>
    <w:p>
      <w:pPr>
        <w:pStyle w:val="Normal"/>
        <w:widowControl w:val="false"/>
        <w:suppressAutoHyphens w:val="true"/>
        <w:bidi w:val="0"/>
        <w:spacing w:before="0" w:after="0"/>
        <w:ind w:hanging="454" w:left="-567" w:right="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  <w:u w:val="none"/>
        </w:rPr>
        <w:t xml:space="preserve"> заявка н</w:t>
      </w:r>
      <w:r>
        <w:rPr>
          <w:sz w:val="22"/>
          <w:szCs w:val="22"/>
        </w:rPr>
        <w:t>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2) копии документов, удостоверяющих личность заявителя (для физических лиц);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4) документы, подтверждающие внесение задатка (</w:t>
      </w:r>
      <w:r>
        <w:rPr>
          <w:sz w:val="22"/>
          <w:szCs w:val="22"/>
          <w:u w:val="single"/>
        </w:rPr>
        <w:t>квитанция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>платежное поручение</w:t>
      </w:r>
      <w:r>
        <w:rPr>
          <w:sz w:val="22"/>
          <w:szCs w:val="22"/>
        </w:rPr>
        <w:t>).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pacing w:val="4"/>
          <w:sz w:val="22"/>
          <w:szCs w:val="22"/>
        </w:rPr>
        <w:t xml:space="preserve">В случае подачи заявки представителем претендента предъявляется надлежащим образом оформленная доверенность. </w:t>
      </w:r>
      <w:r>
        <w:rPr>
          <w:sz w:val="22"/>
          <w:szCs w:val="22"/>
        </w:rPr>
        <w:t>Доверенность на право участия в аукционе от имени заявителя оформляется на бланке организации заявителя за подписью уполномоченного исполнительного органа, скрепленной печатью организации заявителя (для юридических лиц), либо оформляется нотариально (для физических лиц).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Заявитель имеет право отозвать принятую организатором аукциона заявку на участие в аукционе</w:t>
      </w:r>
      <w:r>
        <w:rPr>
          <w:sz w:val="22"/>
          <w:szCs w:val="22"/>
        </w:rPr>
        <w:t xml:space="preserve">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>
      <w:pPr>
        <w:pStyle w:val="Normal"/>
        <w:ind w:hanging="426" w:left="-567"/>
        <w:jc w:val="both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1) 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2) непоступление задатка на дату рассмотрения заявок на участие в аукционе;</w:t>
      </w:r>
    </w:p>
    <w:p>
      <w:pPr>
        <w:pStyle w:val="Normal"/>
        <w:ind w:hanging="426" w:left="-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3)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или </w:t>
      </w:r>
      <w:r>
        <w:rPr>
          <w:bCs/>
          <w:sz w:val="22"/>
          <w:szCs w:val="22"/>
        </w:rPr>
        <w:t>покупателем</w:t>
      </w:r>
      <w:r>
        <w:rPr>
          <w:sz w:val="22"/>
          <w:szCs w:val="22"/>
        </w:rPr>
        <w:t xml:space="preserve"> земельного участка;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лицо, в реестре недобросовестных участников аукциона.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Организатор аукциона ведет протокол рассмотрения заявок на участие в аукционе</w:t>
      </w:r>
      <w:r>
        <w:rPr>
          <w:sz w:val="22"/>
          <w:szCs w:val="22"/>
        </w:rPr>
        <w:t xml:space="preserve">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Протокол рассмотрения заявок на участие в аукционе</w:t>
      </w:r>
      <w:r>
        <w:rPr>
          <w:sz w:val="22"/>
          <w:szCs w:val="22"/>
        </w:rPr>
        <w:t xml:space="preserve">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>
      <w:pPr>
        <w:pStyle w:val="Normal"/>
        <w:widowControl w:val="false"/>
        <w:snapToGrid w:val="false"/>
        <w:ind w:hanging="426" w:left="-567"/>
        <w:jc w:val="both"/>
        <w:rPr>
          <w:spacing w:val="4"/>
          <w:sz w:val="22"/>
          <w:szCs w:val="22"/>
        </w:rPr>
      </w:pPr>
      <w:r>
        <w:rPr>
          <w:sz w:val="22"/>
          <w:szCs w:val="22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>
      <w:pPr>
        <w:pStyle w:val="Normal"/>
        <w:widowControl w:val="false"/>
        <w:snapToGrid w:val="false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>
      <w:pPr>
        <w:pStyle w:val="Normal"/>
        <w:ind w:hanging="426" w:left="-567"/>
        <w:jc w:val="both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Аукцион признается несостоявшимся в случае, если: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аукционе участвовал только один участник или при проведении аукциона не присутствовал ни один из участников аукциона;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-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В случае признания аукциона несостоявшимся, внесенные задатки возвращаются участникам в течение трех рабочих дней со дня подписания протокола о результатах аукциона.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Протокол о результатах аукциона</w:t>
      </w:r>
      <w:r>
        <w:rPr>
          <w:sz w:val="22"/>
          <w:szCs w:val="22"/>
        </w:rPr>
        <w:t xml:space="preserve">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>
      <w:pPr>
        <w:pStyle w:val="Normal"/>
        <w:ind w:hanging="426" w:left="-567"/>
        <w:jc w:val="both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Порядок определения победителя: </w:t>
      </w:r>
      <w:r>
        <w:rPr>
          <w:bCs/>
          <w:sz w:val="22"/>
          <w:szCs w:val="22"/>
        </w:rPr>
        <w:t xml:space="preserve">победителем аукциона признается участник аукциона, предложивший </w:t>
      </w:r>
      <w:r>
        <w:rPr>
          <w:sz w:val="22"/>
          <w:szCs w:val="22"/>
        </w:rPr>
        <w:t>наибольший размер ежегодной арендной платы</w:t>
      </w:r>
      <w:r>
        <w:rPr>
          <w:bCs/>
          <w:sz w:val="22"/>
          <w:szCs w:val="22"/>
        </w:rPr>
        <w:t xml:space="preserve"> за земельный участок</w:t>
      </w:r>
      <w:r>
        <w:rPr>
          <w:spacing w:val="4"/>
          <w:sz w:val="22"/>
          <w:szCs w:val="22"/>
        </w:rPr>
        <w:t xml:space="preserve">. </w:t>
      </w:r>
    </w:p>
    <w:p>
      <w:pPr>
        <w:pStyle w:val="Normal"/>
        <w:ind w:hanging="426" w:left="-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Победителю аукциона или единственному принявшему участие в аукционе его участнику</w:t>
      </w:r>
      <w:r>
        <w:rPr>
          <w:sz w:val="22"/>
          <w:szCs w:val="22"/>
        </w:rPr>
        <w:t xml:space="preserve"> направляется два экземпляра подписанного проекта договора аренды земельного участка в пятидневный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договора ранее чем через десять дней со дня размещения информации о результатах аукциона                               на официальном сайте, в том числе договоров, указанных в пунктах 13 и 14 статьи 39.12 Земельного кодекса РФ.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случае признания аукциона несостоявшимся,</w:t>
      </w:r>
      <w:r>
        <w:rPr>
          <w:sz w:val="22"/>
          <w:szCs w:val="22"/>
        </w:rPr>
        <w:t xml:space="preserve"> засчитываются в счет арендной платы за земельный участок. Задатки, внесенные этими лицами, не заключившими в установленном настоящим извещением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Срок заключения договора аренды земельного участка:</w:t>
      </w:r>
      <w:r>
        <w:rPr>
          <w:sz w:val="22"/>
          <w:szCs w:val="22"/>
        </w:rPr>
        <w:t xml:space="preserve"> не ранее чем через десять дней со дня размещения протокола рассмотрения заявок на участие в электронном аукциона в случае, если электронный аукцион признании несостоявшимся, либо протокола о результатах аукциона на официальном сайте. Договор аренды земельного участка должен быть подписан и представлен в управление имущественных и земельных отношений администрации Яковлевского муниципального округа в течение десяти рабочих</w:t>
      </w:r>
      <w:bookmarkStart w:id="1" w:name="_GoBack"/>
      <w:bookmarkEnd w:id="1"/>
      <w:r>
        <w:rPr>
          <w:sz w:val="22"/>
          <w:szCs w:val="22"/>
        </w:rPr>
        <w:t xml:space="preserve"> дней со дня направления.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Если договор аренды земельного участка в течение десяти рабочих дней со дня направления победителю аукциона проекта указанного договора им не подписан</w:t>
      </w:r>
      <w:r>
        <w:rPr>
          <w:sz w:val="22"/>
          <w:szCs w:val="22"/>
        </w:rPr>
        <w:t xml:space="preserve"> и не представлен в управление имущественных и земельных отношений администрации Яковлевского муниципального округа, организатор аукциона предлагает заключить договор аренды земельного участка иному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управление имущественных и земельных отношений администрации Яковлевского муниципального округа,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>
      <w:pPr>
        <w:pStyle w:val="Normal"/>
        <w:widowControl w:val="false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Сведения о победителях аукционов, уклонившихся от заключения договора аренды земельного участка, </w:t>
      </w:r>
      <w:r>
        <w:rPr>
          <w:sz w:val="22"/>
          <w:szCs w:val="22"/>
        </w:rPr>
        <w:t xml:space="preserve">и об иных лицах, с которыми договоры аренды заключаются в соответствии с пунктом 13,14,20 или 25 Земельного кодекса РФ и которые уклонились от их заключения, включаются в реестр недобросовестных участников аукциона. </w:t>
      </w:r>
      <w:bookmarkStart w:id="2" w:name="Par1035"/>
      <w:bookmarkEnd w:id="2"/>
      <w:r>
        <w:rPr>
          <w:sz w:val="22"/>
          <w:szCs w:val="22"/>
        </w:rPr>
        <w:t>Сведения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В соответствии с законом заключение договора аренды земельного участка</w:t>
      </w:r>
      <w:r>
        <w:rPr>
          <w:sz w:val="22"/>
          <w:szCs w:val="22"/>
        </w:rPr>
        <w:t xml:space="preserve">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договору аренды должны быть исполнены победителем торгов лично.</w:t>
      </w:r>
    </w:p>
    <w:p>
      <w:pPr>
        <w:pStyle w:val="BodyTextIndent2"/>
        <w:tabs>
          <w:tab w:val="clear" w:pos="708"/>
          <w:tab w:val="left" w:pos="0" w:leader="none"/>
        </w:tabs>
        <w:spacing w:lineRule="auto" w:line="240" w:before="0" w:after="0"/>
        <w:ind w:hanging="426" w:left="-567" w:right="23"/>
        <w:jc w:val="both"/>
        <w:rPr>
          <w:b/>
          <w:sz w:val="22"/>
          <w:szCs w:val="22"/>
        </w:rPr>
      </w:pPr>
      <w:r>
        <w:rPr>
          <w:sz w:val="22"/>
          <w:szCs w:val="22"/>
        </w:rPr>
        <w:t>Обязательным приложением к настоящему извещению</w:t>
      </w:r>
      <w:r>
        <w:rPr>
          <w:b/>
          <w:sz w:val="22"/>
          <w:szCs w:val="22"/>
        </w:rPr>
        <w:t>, размещенному на официальном сайте, является проект</w:t>
      </w:r>
      <w:r>
        <w:rPr>
          <w:b/>
          <w:sz w:val="22"/>
          <w:szCs w:val="22"/>
          <w:u w:val="none"/>
        </w:rPr>
        <w:t xml:space="preserve"> договора аренды </w:t>
      </w:r>
      <w:r>
        <w:rPr>
          <w:b/>
          <w:sz w:val="22"/>
          <w:szCs w:val="22"/>
        </w:rPr>
        <w:t>земельного участка.</w:t>
      </w:r>
    </w:p>
    <w:p>
      <w:pPr>
        <w:pStyle w:val="Normal"/>
        <w:tabs>
          <w:tab w:val="clear" w:pos="708"/>
          <w:tab w:val="left" w:pos="851" w:leader="none"/>
          <w:tab w:val="left" w:pos="1080" w:leader="none"/>
        </w:tabs>
        <w:ind w:hanging="426" w:left="-567" w:right="-2"/>
        <w:jc w:val="both"/>
        <w:rPr>
          <w:rFonts w:eastAsia="MS Mincho"/>
          <w:sz w:val="22"/>
          <w:szCs w:val="22"/>
        </w:rPr>
      </w:pPr>
      <w:r>
        <w:rPr>
          <w:b/>
          <w:spacing w:val="4"/>
          <w:sz w:val="22"/>
          <w:szCs w:val="22"/>
        </w:rPr>
        <w:t>Осмотр земельных участков</w:t>
      </w:r>
      <w:r>
        <w:rPr>
          <w:spacing w:val="4"/>
          <w:sz w:val="22"/>
          <w:szCs w:val="22"/>
        </w:rPr>
        <w:t xml:space="preserve"> на местности производится претендентами в любое время самостоятельно, </w:t>
      </w:r>
      <w:r>
        <w:rPr>
          <w:rFonts w:eastAsia="MS Mincho"/>
          <w:sz w:val="22"/>
          <w:szCs w:val="22"/>
        </w:rPr>
        <w:t xml:space="preserve">с имеющейся документацией по земельному участку претенденты вправе ознакомиться у организатора аукциона. 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Ограничения в использовании по выставленному земельному участку, обременение правами третьих лиц</w:t>
      </w:r>
      <w:r>
        <w:rPr>
          <w:sz w:val="22"/>
          <w:szCs w:val="22"/>
        </w:rPr>
        <w:t xml:space="preserve"> отсутствуют, земельный участок под арестом и в залоге не состоит.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Данное извещение о проведении аукциона является публичным предложением, содержащим существенные условия, обязательные для выполнения участниками аукциона.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  <w:t>Подробную информацию по земельному участку, порядку проведения аукциона, форме заявки, проекту договора можно получить по телефону: 8(47244) 6-93-42. Контактное лицо – Кальницкая                                Ольга Дмитриевна.</w:t>
      </w:r>
    </w:p>
    <w:p>
      <w:pPr>
        <w:pStyle w:val="Normal"/>
        <w:ind w:hanging="426" w:left="-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25" w:left="5245" w:right="168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566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56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6561f"/>
    <w:pPr>
      <w:keepNext w:val="true"/>
      <w:outlineLvl w:val="0"/>
    </w:pPr>
    <w:rPr>
      <w:b/>
      <w:bCs/>
      <w:color w:val="auto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6561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basedOn w:val="DefaultParagraphFont"/>
    <w:link w:val="BodyText2"/>
    <w:qFormat/>
    <w:rsid w:val="0076561f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Style12" w:customStyle="1">
    <w:name w:val="Без интервала Знак"/>
    <w:link w:val="NoSpacing"/>
    <w:uiPriority w:val="1"/>
    <w:qFormat/>
    <w:rsid w:val="0076561f"/>
    <w:rPr>
      <w:rFonts w:ascii="Calibri" w:hAnsi="Calibri" w:eastAsia="Calibri" w:cs="Times New Roman"/>
    </w:rPr>
  </w:style>
  <w:style w:type="character" w:styleId="1" w:customStyle="1">
    <w:name w:val="Заголовок 1 Знак"/>
    <w:basedOn w:val="DefaultParagraphFont"/>
    <w:qFormat/>
    <w:rsid w:val="0076561f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rsid w:val="0076561f"/>
    <w:rPr>
      <w:color w:val="0000FF"/>
      <w:u w:val="single"/>
    </w:rPr>
  </w:style>
  <w:style w:type="character" w:styleId="Style13" w:customStyle="1">
    <w:name w:val="Основной текст Знак"/>
    <w:basedOn w:val="DefaultParagraphFont"/>
    <w:qFormat/>
    <w:rsid w:val="0076561f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22" w:customStyle="1">
    <w:name w:val="Заголовок №2 (2)"/>
    <w:qFormat/>
    <w:rsid w:val="0076561f"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Blk" w:customStyle="1">
    <w:name w:val="blk"/>
    <w:basedOn w:val="DefaultParagraphFont"/>
    <w:qFormat/>
    <w:rsid w:val="0076561f"/>
    <w:rPr/>
  </w:style>
  <w:style w:type="character" w:styleId="3" w:customStyle="1">
    <w:name w:val="Основной текст (3)"/>
    <w:uiPriority w:val="99"/>
    <w:qFormat/>
    <w:rsid w:val="0076561f"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6561f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76561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687c8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6d45b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rsid w:val="0076561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2"/>
    <w:qFormat/>
    <w:rsid w:val="0076561f"/>
    <w:pPr>
      <w:spacing w:lineRule="auto" w:line="480" w:before="0" w:after="120"/>
    </w:pPr>
    <w:rPr/>
  </w:style>
  <w:style w:type="paragraph" w:styleId="NoSpacing">
    <w:name w:val="No Spacing"/>
    <w:link w:val="Style12"/>
    <w:uiPriority w:val="1"/>
    <w:qFormat/>
    <w:rsid w:val="0076561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1" w:customStyle="1">
    <w:name w:val="Без интервала1"/>
    <w:qFormat/>
    <w:rsid w:val="007656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8"/>
      <w:szCs w:val="28"/>
      <w:lang w:val="ru-RU" w:eastAsia="ru-RU" w:bidi="ar-SA"/>
    </w:rPr>
  </w:style>
  <w:style w:type="paragraph" w:styleId="ConsNonformat" w:customStyle="1">
    <w:name w:val="ConsNonformat"/>
    <w:qFormat/>
    <w:rsid w:val="0076561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6561f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1"/>
    <w:qFormat/>
    <w:rsid w:val="00687c8c"/>
    <w:pPr>
      <w:spacing w:lineRule="auto" w:line="480" w:before="0" w:after="120"/>
      <w:ind w:left="283"/>
    </w:pPr>
    <w:rPr>
      <w:color w:val="auto"/>
      <w:sz w:val="20"/>
      <w:szCs w:val="20"/>
    </w:rPr>
  </w:style>
  <w:style w:type="paragraph" w:styleId="Msonormalbullet2gifbullet3gif" w:customStyle="1">
    <w:name w:val="msonormalbullet2gifbullet3.gif"/>
    <w:basedOn w:val="Normal"/>
    <w:qFormat/>
    <w:rsid w:val="000d0fe7"/>
    <w:pPr>
      <w:spacing w:beforeAutospacing="1" w:afterAutospacing="1"/>
    </w:pPr>
    <w:rPr>
      <w:color w:val="auto"/>
      <w:sz w:val="24"/>
      <w:szCs w:val="24"/>
    </w:rPr>
  </w:style>
  <w:style w:type="paragraph" w:styleId="BodyTextIndent">
    <w:name w:val="Body Text Indent"/>
    <w:basedOn w:val="Normal"/>
    <w:link w:val="Style15"/>
    <w:rsid w:val="006d45b5"/>
    <w:pPr>
      <w:spacing w:before="0" w:after="120"/>
      <w:ind w:left="283"/>
    </w:pPr>
    <w:rPr>
      <w:color w:val="auto"/>
      <w:sz w:val="20"/>
      <w:szCs w:val="20"/>
    </w:rPr>
  </w:style>
  <w:style w:type="paragraph" w:styleId="ConsPlusNormal" w:customStyle="1">
    <w:name w:val="ConsPlusNormal"/>
    <w:uiPriority w:val="99"/>
    <w:qFormat/>
    <w:rsid w:val="006d45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Msonormalbullet1gif" w:customStyle="1">
    <w:name w:val="msonormalbullet1.gif"/>
    <w:basedOn w:val="Normal"/>
    <w:qFormat/>
    <w:rsid w:val="006d45b5"/>
    <w:pPr>
      <w:spacing w:beforeAutospacing="1" w:afterAutospacing="1"/>
    </w:pPr>
    <w:rPr>
      <w:color w:val="auto"/>
      <w:sz w:val="24"/>
      <w:szCs w:val="24"/>
    </w:rPr>
  </w:style>
  <w:style w:type="paragraph" w:styleId="ConsNormal" w:customStyle="1">
    <w:name w:val="ConsNormal"/>
    <w:qFormat/>
    <w:rsid w:val="009031fb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Msonormalbullet2gif" w:customStyle="1">
    <w:name w:val="msonormalbullet2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3gif" w:customStyle="1">
    <w:name w:val="msonormal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1gif" w:customStyle="1">
    <w:name w:val="msonormalbullet2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bullet1gif" w:customStyle="1">
    <w:name w:val="msonormalbullet2gifbullet2gifbullet1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bullet3gif" w:customStyle="1">
    <w:name w:val="msonormalbullet2gifbullet2gifbullet1gif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1gif" w:customStyle="1">
    <w:name w:val="msonormalbullet2gifbullet2gifbullet1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Msonormalbullet2gifbullet2gifbullet3gif" w:customStyle="1">
    <w:name w:val="msonormalbullet2gifbullet2gifbullet3.gif"/>
    <w:basedOn w:val="Normal"/>
    <w:qFormat/>
    <w:rsid w:val="009031fb"/>
    <w:pPr>
      <w:spacing w:beforeAutospacing="1" w:afterAutospacing="1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cdd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ts-tender.ru/" TargetMode="External"/><Relationship Id="rId3" Type="http://schemas.openxmlformats.org/officeDocument/2006/relationships/hyperlink" Target="http://www.rts-tender.ru/" TargetMode="External"/><Relationship Id="rId4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B2AC-8260-4838-BA5E-8513A886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5005</TotalTime>
  <Application>LibreOffice/7.6.4.1$Windows_X86_64 LibreOffice_project/e19e193f88cd6c0525a17fb7a176ed8e6a3e2aa1</Application>
  <AppVersion>15.0000</AppVersion>
  <Pages>4</Pages>
  <Words>2038</Words>
  <Characters>14207</Characters>
  <CharactersWithSpaces>16183</CharactersWithSpaces>
  <Paragraphs>137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2025-03-20T04:59:00Z</dcterms:created>
  <dc:creator>User</dc:creator>
  <dc:description/>
  <dc:language>ru-RU</dc:language>
  <cp:lastModifiedBy/>
  <cp:lastPrinted>2026-05-06T15:11:57Z</cp:lastPrinted>
  <dcterms:modified xsi:type="dcterms:W3CDTF">2026-05-07T09:15:35Z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