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6917">
      <w:pPr>
        <w:spacing w:after="180"/>
        <w:jc w:val="center"/>
        <w:rPr>
          <w:rFonts w:ascii=" CourierNew" w:hAnsi=" CourierNew" w:cs=" CourierNew"/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6"/>
          <w:szCs w:val="26"/>
        </w:rPr>
        <w:t>ИЗВЕЩЕНИЕ О ПРОВЕДЕНИИ ЗАСЕДАНИЯ СОГЛАСИТЕЛЬНОЙ</w:t>
      </w:r>
      <w:r>
        <w:rPr>
          <w:b/>
          <w:bCs/>
          <w:sz w:val="26"/>
          <w:szCs w:val="26"/>
        </w:rPr>
        <w:t xml:space="preserve"> КОМИССИИ ПО ВОПРОСУ СОГЛАСОВАНИЯ МЕСТОПОЛОЖЕНИЯ ГРАНИЦ ЗЕМЕЛЬНЫХ УЧАСТКОВ ПРИ ВЫПОЛНЕНИИ КОМПЛЕКСНЫХ КАДАСТРОВЫХ РАБОТ (в рамках гарантийных обязательств)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3"/>
        <w:gridCol w:w="1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00000" w:rsidRDefault="00826917">
            <w:pPr>
              <w:spacing w:before="20" w:after="20"/>
              <w:ind w:left="113"/>
              <w:jc w:val="center"/>
              <w:rPr>
                <w:rFonts w:ascii=" CourierNew" w:hAnsi=" CourierNew" w:cs=" CourierNew"/>
                <w:b/>
                <w:bCs/>
                <w:sz w:val="26"/>
                <w:szCs w:val="26"/>
              </w:rPr>
            </w:pPr>
            <w:r>
              <w:rPr>
                <w:rFonts w:ascii=" CourierNew" w:hAnsi=" CourierNew" w:cs=" CourierNew"/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</w:t>
            </w:r>
            <w:r>
              <w:rPr>
                <w:rFonts w:ascii=" CourierNew" w:hAnsi=" CourierNew" w:cs=" CourierNew"/>
                <w:b/>
                <w:bCs/>
                <w:sz w:val="26"/>
                <w:szCs w:val="26"/>
              </w:rPr>
              <w:t>ИЦ ЗЕМЕЛЬНЫХ УЧАСТКОВ ПРИ ВЫПОЛНЕНИИ КОМПЛЕКСНЫХ КАДАСТРОВЫХ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spacing w:before="20"/>
              <w:ind w:left="170" w:firstLine="567"/>
              <w:jc w:val="both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1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  <w:r>
              <w:rPr>
                <w:sz w:val="24"/>
                <w:szCs w:val="24"/>
              </w:rPr>
              <w:t>ская область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1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0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00000" w:rsidRDefault="00826917">
            <w:pPr>
              <w:spacing w:before="40"/>
              <w:ind w:left="170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№ кадастрового квартала (нескольких смежных кадастровых кварталов: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31:10:1008004, 31:10:1013008, 31:10:1001012 – г. Строитель</w:t>
            </w:r>
          </w:p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31:10:1205004 – с. Стрелецкое</w:t>
            </w:r>
          </w:p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31:10:1706011, 31:10:1706012, 31:10:1702003,  – п. Томаровка</w:t>
            </w:r>
          </w:p>
          <w:p w:rsidR="00000000" w:rsidRDefault="00826917">
            <w:pPr>
              <w:shd w:val="clear" w:color="FFFFFF" w:fill="FFFFFF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31:10:1304005 – х. Новоказацкий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/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(Иные сведения, позволяющие определить местоположение территории, на которой выполняются комплексные кадастровые работ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spacing w:after="20"/>
              <w:ind w:left="170"/>
              <w:rPr>
                <w:rFonts w:ascii=" CourierNew" w:hAnsi=" CourierNew" w:cs=" CourierNew"/>
                <w:b/>
                <w:bCs/>
                <w:sz w:val="24"/>
                <w:szCs w:val="24"/>
              </w:rPr>
            </w:pPr>
            <w:r>
              <w:rPr>
                <w:rFonts w:ascii=" CourierNew" w:hAnsi=" CourierNew" w:cs=" CourierNew"/>
                <w:b/>
                <w:bCs/>
                <w:sz w:val="24"/>
                <w:szCs w:val="24"/>
              </w:rPr>
              <w:t xml:space="preserve">в рамках гарантийных обязательств </w:t>
            </w:r>
            <w:r>
              <w:rPr>
                <w:rFonts w:ascii=" CourierNew" w:hAnsi=" CourierNew" w:cs=" CourierNew"/>
                <w:b/>
                <w:bCs/>
                <w:sz w:val="24"/>
                <w:szCs w:val="24"/>
              </w:rPr>
              <w:t>по муниципальным контрактам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both"/>
              <w:rPr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309070, Белгородская область, Яковлевский муниципальный ок</w:t>
            </w:r>
            <w:r>
              <w:rPr>
                <w:sz w:val="24"/>
                <w:szCs w:val="24"/>
              </w:rPr>
              <w:t>руг, г. Строитель, ул. Ленина, 16 (здание администрации, каб. №22)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ind w:left="170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Яковлевского муниципального округа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https://yako</w:t>
            </w:r>
            <w:r>
              <w:rPr>
                <w:sz w:val="21"/>
                <w:szCs w:val="21"/>
              </w:rPr>
              <w:t>vgo.gosuslugi.ru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Министерство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http://dizo31.ru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ind w:left="57"/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(Наименование исполнительного органа государственной власти субъекта Р</w:t>
            </w:r>
            <w:r>
              <w:rPr>
                <w:rFonts w:ascii=" CourierNew" w:hAnsi=" CourierNew" w:cs=" CourierNew"/>
                <w:i/>
                <w:iCs/>
              </w:rPr>
              <w:t>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(Наименование орган</w:t>
            </w:r>
            <w:r>
              <w:rPr>
                <w:rFonts w:ascii=" CourierNew" w:hAnsi=" CourierNew" w:cs=" CourierNew"/>
                <w:i/>
                <w:iCs/>
              </w:rPr>
              <w:t>а кадастрового учета)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917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917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keepLines/>
              <w:spacing w:before="240"/>
              <w:ind w:left="170" w:firstLine="567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</w:t>
            </w:r>
            <w:r>
              <w:rPr>
                <w:sz w:val="24"/>
                <w:szCs w:val="24"/>
              </w:rPr>
              <w:t xml:space="preserve"> кадастровых кварталов):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31:10:1008004, 31:10:1013008, 31:10:1001012 – г. Строитель</w:t>
            </w:r>
          </w:p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31:10:1205004 – с. Стрелецкое</w:t>
            </w:r>
          </w:p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31:10:1706011, 31:10:1706012, 31:10:1702003, 31:10:1706006  – п. Томаровка</w:t>
            </w:r>
          </w:p>
          <w:p w:rsidR="00000000" w:rsidRDefault="00826917">
            <w:pPr>
              <w:shd w:val="clear" w:color="FFFFFF" w:fill="FFFFFF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31:10:1304005 – х. Новоказацкий</w:t>
            </w:r>
          </w:p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438" w:type="dxa"/>
            <w:gridSpan w:val="1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состоится по адресу:</w:t>
            </w:r>
          </w:p>
        </w:tc>
        <w:tc>
          <w:tcPr>
            <w:tcW w:w="7369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309070, </w:t>
            </w:r>
            <w:r>
              <w:rPr>
                <w:sz w:val="24"/>
                <w:szCs w:val="24"/>
              </w:rPr>
              <w:t xml:space="preserve">Белгородская область, Яковлевский муниципальный округ, </w:t>
            </w:r>
          </w:p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Строитель, ул. Ленина, 16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keepLines/>
              <w:spacing w:before="20" w:after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keepLines/>
              <w:spacing w:before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82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       Второе заседание согласительной комиссии по рассмотрению возражений заинтересованных лиц  состоится по адресу: Белгородская обл., Яковлевский муниципальный округ,  г. Строитель, ул. Ленина, 16)</w:t>
            </w:r>
          </w:p>
          <w:p w:rsidR="00000000" w:rsidRDefault="0082691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  24 ноября 2025 года в 09 час</w:t>
            </w:r>
            <w:r>
              <w:rPr>
                <w:sz w:val="21"/>
                <w:szCs w:val="21"/>
                <w:shd w:val="clear" w:color="auto" w:fill="FFFFFF"/>
              </w:rPr>
              <w:t>ов 00 минут.</w:t>
            </w:r>
          </w:p>
          <w:p w:rsidR="00000000" w:rsidRDefault="00826917">
            <w:pPr>
              <w:keepLines/>
              <w:spacing w:before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</w:t>
            </w:r>
            <w:r>
              <w:rPr>
                <w:sz w:val="24"/>
                <w:szCs w:val="24"/>
              </w:rPr>
              <w:t xml:space="preserve">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</w:t>
            </w:r>
            <w:r>
              <w:rPr>
                <w:sz w:val="24"/>
                <w:szCs w:val="24"/>
              </w:rPr>
              <w:t>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</w:t>
            </w:r>
            <w:r>
              <w:rPr>
                <w:sz w:val="24"/>
                <w:szCs w:val="24"/>
              </w:rPr>
              <w:t>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26917">
            <w:pPr>
              <w:keepLines/>
              <w:spacing w:after="24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</w:t>
            </w:r>
            <w:r>
              <w:rPr>
                <w:sz w:val="24"/>
                <w:szCs w:val="24"/>
              </w:rPr>
              <w:t>вия таких возражений местоположение границ земельных участков считается согласованным.</w:t>
            </w:r>
          </w:p>
        </w:tc>
      </w:tr>
    </w:tbl>
    <w:p w:rsidR="00826917" w:rsidRDefault="00826917">
      <w:pPr>
        <w:rPr>
          <w:rFonts w:ascii=" CourierNew" w:hAnsi=" CourierNew" w:cs=" CourierNew"/>
          <w:sz w:val="24"/>
          <w:szCs w:val="24"/>
        </w:rPr>
      </w:pPr>
    </w:p>
    <w:sectPr w:rsidR="00826917">
      <w:headerReference w:type="default" r:id="rId6"/>
      <w:pgSz w:w="11906" w:h="16838"/>
      <w:pgMar w:top="851" w:right="851" w:bottom="567" w:left="1134" w:header="397" w:footer="3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17" w:rsidRDefault="00826917">
      <w:r>
        <w:rPr>
          <w:rFonts w:ascii=" CourierNew" w:hAnsi=" CourierNew" w:cs=" CourierNew"/>
        </w:rPr>
        <w:separator/>
      </w:r>
    </w:p>
  </w:endnote>
  <w:endnote w:type="continuationSeparator" w:id="0">
    <w:p w:rsidR="00826917" w:rsidRDefault="00826917">
      <w:r>
        <w:rPr>
          <w:rFonts w:ascii=" CourierNew" w:hAnsi=" CourierNew" w:cs=" CourierNew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ourierNe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17" w:rsidRDefault="00826917">
      <w:r>
        <w:rPr>
          <w:rFonts w:ascii=" CourierNew" w:hAnsi=" CourierNew" w:cs=" CourierNew"/>
        </w:rPr>
        <w:separator/>
      </w:r>
    </w:p>
  </w:footnote>
  <w:footnote w:type="continuationSeparator" w:id="0">
    <w:p w:rsidR="00826917" w:rsidRDefault="00826917">
      <w:r>
        <w:rPr>
          <w:rFonts w:ascii=" CourierNew" w:hAnsi=" CourierNew" w:cs=" CourierNe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917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A"/>
    <w:rsid w:val="00826917"/>
    <w:rsid w:val="00A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3B2CE1-6FB9-4CE5-B2EF-1E52F03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 w:cs=" Arial"/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 w:cs=" Arial"/>
      <w:i/>
      <w:iCs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character" w:customStyle="1" w:styleId="FootnoteTextChar">
    <w:name w:val="Footnote Text Char"/>
    <w:uiPriority w:val="99"/>
    <w:rPr>
      <w:rFonts w:ascii=" Arial" w:hAnsi=" Arial" w:cs=" Arial"/>
      <w:sz w:val="18"/>
      <w:szCs w:val="18"/>
    </w:rPr>
  </w:style>
  <w:style w:type="character" w:customStyle="1" w:styleId="EndnoteTextChar">
    <w:name w:val="Endnote Text Char"/>
    <w:uiPriority w:val="99"/>
    <w:rPr>
      <w:rFonts w:ascii=" Arial" w:hAnsi=" Arial" w:cs=" Arial"/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e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 TimesNewRoman" w:hAnsi=" TimesNewRoman" w:cs=" TimesNewRoman"/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 TimesNewRoman" w:hAnsi=" TimesNewRoman" w:cs=" TimesNewRoman"/>
      <w:sz w:val="20"/>
      <w:szCs w:val="20"/>
    </w:rPr>
  </w:style>
  <w:style w:type="paragraph" w:styleId="af4">
    <w:name w:val="footnote text"/>
    <w:basedOn w:val="a"/>
    <w:link w:val="af5"/>
    <w:uiPriority w:val="99"/>
  </w:style>
  <w:style w:type="character" w:customStyle="1" w:styleId="af5">
    <w:name w:val="Текст сноски Знак"/>
    <w:basedOn w:val="a0"/>
    <w:link w:val="af4"/>
    <w:uiPriority w:val="99"/>
    <w:semiHidden/>
    <w:rPr>
      <w:rFonts w:ascii=" TimesNewRoman" w:hAnsi=" TimesNewRoman" w:cs=" TimesNewRoman"/>
      <w:sz w:val="20"/>
      <w:szCs w:val="20"/>
    </w:rPr>
  </w:style>
  <w:style w:type="character" w:styleId="af6">
    <w:name w:val="footnote reference"/>
    <w:basedOn w:val="a0"/>
    <w:uiPriority w:val="99"/>
    <w:rPr>
      <w:rFonts w:ascii=" TimesNewRoman" w:hAnsi=" TimesNewRoman" w:cs=" TimesNew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styleId="af7">
    <w:name w:val="endnote text"/>
    <w:basedOn w:val="a"/>
    <w:link w:val="af8"/>
    <w:uiPriority w:val="99"/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 TimesNewRoman" w:hAnsi=" TimesNewRoman" w:cs=" TimesNewRoman"/>
      <w:sz w:val="20"/>
      <w:szCs w:val="20"/>
    </w:rPr>
  </w:style>
  <w:style w:type="character" w:styleId="af9">
    <w:name w:val="endnote reference"/>
    <w:basedOn w:val="a0"/>
    <w:uiPriority w:val="99"/>
    <w:rPr>
      <w:rFonts w:ascii=" TimesNewRoman" w:hAnsi=" TimesNewRoman" w:cs=" TimesNew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Олеся</cp:lastModifiedBy>
  <cp:revision>2</cp:revision>
  <dcterms:created xsi:type="dcterms:W3CDTF">2025-10-15T07:48:00Z</dcterms:created>
  <dcterms:modified xsi:type="dcterms:W3CDTF">2025-10-15T07:48:00Z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r7-office/2025.1.1.749</vt:lpwstr>
  </property>
</Properties>
</file>