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A54F" w14:textId="77777777" w:rsidR="005F46A5" w:rsidRPr="005F46A5" w:rsidRDefault="009C6632" w:rsidP="005F46A5">
      <w:pPr>
        <w:pStyle w:val="a4"/>
        <w:shd w:val="clear" w:color="auto" w:fill="FFFFFF"/>
        <w:jc w:val="right"/>
        <w:rPr>
          <w:rFonts w:ascii="PT Sans" w:hAnsi="PT Sans"/>
          <w:color w:val="5D6577"/>
          <w:sz w:val="21"/>
          <w:szCs w:val="21"/>
        </w:rPr>
      </w:pPr>
      <w:r w:rsidRPr="009C6632">
        <w:rPr>
          <w:rFonts w:ascii="Arial" w:hAnsi="Arial" w:cs="Arial"/>
          <w:color w:val="444444"/>
        </w:rPr>
        <w:t> </w:t>
      </w:r>
      <w:r w:rsidR="005F46A5" w:rsidRPr="005F46A5">
        <w:rPr>
          <w:rFonts w:ascii="PT Sans" w:hAnsi="PT Sans"/>
          <w:color w:val="5D6577"/>
          <w:sz w:val="21"/>
          <w:szCs w:val="21"/>
        </w:rPr>
        <w:br/>
        <w:t>ГОСТ 21624-81</w:t>
      </w:r>
      <w:r w:rsidR="005F46A5" w:rsidRPr="005F46A5">
        <w:rPr>
          <w:rFonts w:ascii="PT Sans" w:hAnsi="PT Sans"/>
          <w:color w:val="5D6577"/>
          <w:sz w:val="21"/>
          <w:szCs w:val="21"/>
        </w:rPr>
        <w:br/>
      </w:r>
      <w:r w:rsidR="005F46A5" w:rsidRPr="005F46A5">
        <w:rPr>
          <w:rFonts w:ascii="PT Sans" w:hAnsi="PT Sans"/>
          <w:color w:val="5D6577"/>
          <w:sz w:val="21"/>
          <w:szCs w:val="21"/>
        </w:rPr>
        <w:br/>
        <w:t>Группа Т51</w:t>
      </w:r>
    </w:p>
    <w:p w14:paraId="7BF0BCB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ГОСУДАРСТВЕННЫЙ СТАНДАРТ СОЮЗА ССР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СИСТЕМА ТЕХНИЧЕСКОГО ОБСЛУЖИВАНИЯ И РЕМОНТА АВТОМОБИЛЬНОЙ ТЕХНИКИ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Требования к эксплуатационной технологичности и ремонтопригодности изделий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Motor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vehicle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maintenance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and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repair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system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.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  <w:t>Requirments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  <w:t xml:space="preserve"> for maintainability and repairability of items</w:t>
      </w:r>
    </w:p>
    <w:p w14:paraId="5D856DD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ОКП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  <w:t xml:space="preserve"> 45 1000</w:t>
      </w:r>
    </w:p>
    <w:p w14:paraId="62D46A9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Дата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  <w:t xml:space="preserve"> 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введения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val="en-US" w:eastAsia="ru-RU"/>
        </w:rPr>
        <w:t xml:space="preserve"> 1983-01-01</w:t>
      </w:r>
    </w:p>
    <w:p w14:paraId="0A0ACCC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Постановлением Государственного комитета СССР по стандартам от 24 декабря 1981 г. N 5619 срок введения установлен с 1983-01-01</w:t>
      </w:r>
    </w:p>
    <w:p w14:paraId="5B5E833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Взамен ГОСТ 21624-76</w:t>
      </w:r>
    </w:p>
    <w:p w14:paraId="53DC090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Переиздание. Июнь 1987 г.</w:t>
      </w:r>
    </w:p>
    <w:p w14:paraId="3B523E2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Настоящий стандарт устанавливает требования к изделиям по обеспечению заданного уровня эксплуатационной технологичности (ЭТ) и ремонтопригодности (РП), а также значения показателей ЭТ и РП, предусмотренных ГОСТ 20334-81, для изделий автомобильной техники - полноприводных и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неполноприводных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автомобилей (грузовых, легковых и автобусов), прицепов и полуприцепов (далее - изделий).</w:t>
      </w:r>
    </w:p>
    <w:p w14:paraId="5D2779B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Стандарт не распространяется на специальные и специализированные изделия автомобильной техники.</w:t>
      </w:r>
    </w:p>
    <w:p w14:paraId="4E7564F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Требования к ЭТ и РП изделий должны включаться в техническое задание на разработку или модернизацию изделия и карту технического уровня.</w:t>
      </w:r>
    </w:p>
    <w:p w14:paraId="08AFC28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Термины, применяемые в настоящем стандарте, и пояснения к ним приведены в справочном приложении 1.</w:t>
      </w:r>
    </w:p>
    <w:p w14:paraId="59C7A577" w14:textId="77777777" w:rsidR="005F46A5" w:rsidRPr="005F46A5" w:rsidRDefault="005F46A5" w:rsidP="005F46A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t>1. ОБЩИЕ ПОЛОЖЕНИЯ</w:t>
      </w:r>
    </w:p>
    <w:p w14:paraId="5B23A4F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1.1. Требования по обеспечению ЭТ и РП изделий автомобильной техники имеют целью снижение затрат времени, труда и средств на техническое обслуживание и ремонт и повышение эффективности их использования в процессе эксплуатации.</w:t>
      </w:r>
    </w:p>
    <w:p w14:paraId="017B7BC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1.2. Настоящим стандартом регламентируются значения нормируемых показателей ЭТ и РП изделий автомобильной техники.</w:t>
      </w:r>
    </w:p>
    <w:p w14:paraId="794967E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1.3. Показатели ЭТ и РП изделий должны задаваться в виде величин:</w:t>
      </w:r>
    </w:p>
    <w:p w14:paraId="1023C923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периодичности видов технического обслуживания в километрах пробега изделия;</w:t>
      </w:r>
    </w:p>
    <w:p w14:paraId="47E7F5F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удельной оперативной трудоемкости технического обслуживания (без ежедневного) в человеко-часах на 1000 км пробега изделия;</w:t>
      </w:r>
    </w:p>
    <w:p w14:paraId="28D4E68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удельной оперативной трудоемкости текущего ремонта в человеко-часах на 1000 км пробега изделия.</w:t>
      </w:r>
    </w:p>
    <w:p w14:paraId="0A9D311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1.4. Значения всех показателей ЭТ и РП при техническом обслуживании и текущем ремонте заданы для первой категории условий эксплуатации и климатических районов с коэффициентом корректирования 1,0.</w:t>
      </w:r>
    </w:p>
    <w:p w14:paraId="4B71545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1.5. Периодичность технического обслуживания (кроме ежедневного), а также удельная оперативная трудоемкость технического обслуживания и текущего ремонта для иных категорий условий эксплуатации и иных климатических районов устанавливаются с учетом коэффициентов корректирования, приведенных в рекомендуемом приложении 2.</w:t>
      </w:r>
    </w:p>
    <w:p w14:paraId="55BC5ECC" w14:textId="77777777" w:rsidR="005F46A5" w:rsidRPr="005F46A5" w:rsidRDefault="005F46A5" w:rsidP="005F46A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t>2. ТРЕБОВАНИЯ ПО ОБЕСПЕЧЕНИЮ ЭКСПЛУАТАЦИОННОЙ ТЕХНОЛОГИЧНОСТИ И РЕМОНТОПРИГОДНОСТИ ИЗДЕЛИЙ</w:t>
      </w:r>
    </w:p>
    <w:p w14:paraId="368D9AD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2.1. Конструкция и компоновка изделия и его составных частей должны обеспечивать проведение всех операций технического обслуживания (ТО) и текущего ремонта (ТР) с минимально возможными трудовыми и материальными затратами.</w:t>
      </w:r>
    </w:p>
    <w:p w14:paraId="717AF98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2.2. Общими требованиями по обеспечению ЭТ и РП изделий автомобильной техники являются:</w:t>
      </w:r>
    </w:p>
    <w:p w14:paraId="15C4C4A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увеличение периодичности ТО изделий;</w:t>
      </w:r>
    </w:p>
    <w:p w14:paraId="38B9357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повышение безотказности работы изделия и его составных частей;</w:t>
      </w:r>
    </w:p>
    <w:p w14:paraId="344557F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обеспечение доступности к составным частям изделия, требующим проведения ТО и ТР;</w:t>
      </w:r>
    </w:p>
    <w:p w14:paraId="634DA0D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обеспечение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легкосъемности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составных частей изделия;</w:t>
      </w:r>
    </w:p>
    <w:p w14:paraId="34200B5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стандартизация и унификация составных частей изделия и эксплуатационных материалов;</w:t>
      </w:r>
    </w:p>
    <w:p w14:paraId="4C60853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сокращение количества объектов изделия, требующих регулярного технического обслуживания;</w:t>
      </w:r>
    </w:p>
    <w:p w14:paraId="2DE2683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сокращение номенклатуры и типоразмеров крепежных деталей;</w:t>
      </w:r>
    </w:p>
    <w:p w14:paraId="61C3ECE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совершенствование антикоррозийной защиты изделия, его составных частей и крепежных деталей;</w:t>
      </w:r>
    </w:p>
    <w:p w14:paraId="3464303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обеспечение доступа к составным частям, требующим проведения антикоррозийной защиты в эксплуатации;</w:t>
      </w:r>
    </w:p>
    <w:p w14:paraId="029B513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обеспечение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контролепригодности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при использовании по назначению, техническом обслуживании и текущем ремонте;</w:t>
      </w:r>
    </w:p>
    <w:p w14:paraId="1B87F95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обеспечение приспособленности изделия к выполнению моечных, крепежных, регулировочных, смазочных, контрольно-диагностических и ремонтных работ;</w:t>
      </w:r>
    </w:p>
    <w:p w14:paraId="4A7514D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обеспечение приспособленности к выполнению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доводочно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-регулировочных и контрольно-измерительных работ;</w:t>
      </w:r>
    </w:p>
    <w:p w14:paraId="08AE2AB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обеспечение возможности применения оригинальных конструктивных решений и новых материалов;</w:t>
      </w:r>
    </w:p>
    <w:p w14:paraId="1CAA874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обеспечение полной геометрической и функциональной взаимозаменяемости однотипных составных частей при техническом обслуживании и ремонте;</w:t>
      </w:r>
    </w:p>
    <w:p w14:paraId="55156B5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снижение численности обслуживающего персонала и потребности в специалистах с высоким уровнем квалификации за счет уменьшения и упрощения демонтажно-монтажных, регулировочных и других работ.</w:t>
      </w:r>
    </w:p>
    <w:p w14:paraId="31C4B92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2.3. Конкретные рекомендации по обеспечению ЭТ и РП изделий и их составных частей приведены в рекомендуемом приложении 3.</w:t>
      </w:r>
    </w:p>
    <w:p w14:paraId="63011737" w14:textId="77777777" w:rsidR="005F46A5" w:rsidRPr="005F46A5" w:rsidRDefault="005F46A5" w:rsidP="005F46A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t>3. ЗНАЧЕНИЯ ПОКАЗАТЕЛЕЙ</w:t>
      </w:r>
    </w:p>
    <w:p w14:paraId="3BE47C5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3.1. Значения периодичности ежедневного (ЕО), первого (ТО-1) и второго (ТО-2) технического обслуживания, задаваемые в технической документации, и ТО по сервисным книжкам приведены в табл.1.</w:t>
      </w:r>
    </w:p>
    <w:p w14:paraId="4782C38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Таблица 1</w:t>
      </w:r>
    </w:p>
    <w:p w14:paraId="7E9445D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Периодичность технического обслуживания изделий автомобильной техники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(I категория условий эксплуатации)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977"/>
        <w:gridCol w:w="529"/>
        <w:gridCol w:w="630"/>
        <w:gridCol w:w="1251"/>
      </w:tblGrid>
      <w:tr w:rsidR="005F46A5" w:rsidRPr="005F46A5" w14:paraId="4F510230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495375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136215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A68A68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189C43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2F8013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33D6A5FF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CDC87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изделия</w:t>
            </w:r>
          </w:p>
        </w:tc>
        <w:tc>
          <w:tcPr>
            <w:tcW w:w="538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91A0E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видов технического обслуживания</w:t>
            </w:r>
          </w:p>
        </w:tc>
      </w:tr>
      <w:tr w:rsidR="005F46A5" w:rsidRPr="005F46A5" w14:paraId="28AC5A72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AAE6A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5F654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DBDB2C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816A6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DB6B3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 сервисным книжкам</w:t>
            </w:r>
          </w:p>
        </w:tc>
      </w:tr>
      <w:tr w:rsidR="005F46A5" w:rsidRPr="005F46A5" w14:paraId="56E24ACA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1695D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801FF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5646A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км, не менее</w:t>
            </w:r>
          </w:p>
        </w:tc>
      </w:tr>
      <w:tr w:rsidR="005F46A5" w:rsidRPr="005F46A5" w14:paraId="67129AFF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5C0F7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C9E0C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рабочие сутки независимо от числа рабочих смен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C22ED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8C503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EF155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F46A5" w:rsidRPr="005F46A5" w14:paraId="26DE85F2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D1142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FF357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B32ED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C1987D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7CF56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6A5" w:rsidRPr="005F46A5" w14:paraId="304896FF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C56A8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грузовые, автобусы на базе грузовых автомобилей или с использованием их основных агрегатов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95BB0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434D58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F0A20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84449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6A5" w:rsidRPr="005F46A5" w14:paraId="55B4A8AC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D5805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A8686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BB4F6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E1FD9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CAFF6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6A5" w:rsidRPr="005F46A5" w14:paraId="35A0AF5F" w14:textId="77777777" w:rsidTr="005F46A5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B7A64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полноприводные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73AD51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CCD1F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A0E7B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E7687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074A42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Примечание. Указанная периодичность технического обслуживания не относится к периоду обкатки нового автомобиля или агрегата, для которых могут устанавливаться меньшие значения периодичности.</w:t>
      </w:r>
    </w:p>
    <w:p w14:paraId="45CB5C4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3.2. При установлении других видов технического обслуживания их периодичность должна быть не менее периодичности второго технического обслуживания.</w:t>
      </w:r>
    </w:p>
    <w:p w14:paraId="25A06C2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3.3. Сезонное техническое обслуживание (СО) выполняют дважды в течение календарного года перед началом осенне-зимней и весенне-летней эксплуатации и совмещают с очередным ТО.</w:t>
      </w:r>
    </w:p>
    <w:p w14:paraId="16621C3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Численное значение периодичности СО определяют отношением годового пробега к количеству выполненных СО.</w:t>
      </w:r>
    </w:p>
    <w:p w14:paraId="4CE2249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Удельную оперативную трудоемкость сезонного технического обслуживания включают в показатель удельной оперативной трудоемкости технического обслуживания.</w:t>
      </w:r>
    </w:p>
    <w:p w14:paraId="1AA31CF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 xml:space="preserve">3.4. Значения нормируемых показателей ЭТ и РП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неполноприводных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и полноприводных автомобилей приведены в табл.2-6.</w:t>
      </w:r>
    </w:p>
    <w:p w14:paraId="7E9BBEB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Таблица 2</w:t>
      </w:r>
    </w:p>
    <w:p w14:paraId="37F17F0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Трудоемкость технического обслуживания и текущего ремонта автомобилей легковых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с колесной формулой 4х2</w:t>
      </w:r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637"/>
        <w:gridCol w:w="1168"/>
        <w:gridCol w:w="1587"/>
        <w:gridCol w:w="1843"/>
        <w:gridCol w:w="1887"/>
        <w:gridCol w:w="27"/>
      </w:tblGrid>
      <w:tr w:rsidR="005F46A5" w:rsidRPr="005F46A5" w14:paraId="7CD37C64" w14:textId="77777777" w:rsidTr="005F46A5">
        <w:trPr>
          <w:gridAfter w:val="1"/>
          <w:wAfter w:w="2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A20621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D205B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331720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0AFCF1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968CFB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AB5472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0DAB46C5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58068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автомобиля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FE7E9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4A7C9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(сухая), кг</w:t>
            </w:r>
          </w:p>
        </w:tc>
        <w:tc>
          <w:tcPr>
            <w:tcW w:w="49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9B30C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трудоемкость</w:t>
            </w:r>
          </w:p>
        </w:tc>
      </w:tr>
      <w:tr w:rsidR="005F46A5" w:rsidRPr="005F46A5" w14:paraId="55C61FDB" w14:textId="77777777" w:rsidTr="005F46A5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C6AC6F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D2195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239BC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1C652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ежедневного технического обслуживания, чел.-ч</w:t>
            </w:r>
          </w:p>
        </w:tc>
        <w:tc>
          <w:tcPr>
            <w:tcW w:w="33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61820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</w:t>
            </w:r>
          </w:p>
        </w:tc>
      </w:tr>
      <w:tr w:rsidR="005F46A5" w:rsidRPr="005F46A5" w14:paraId="5CC158FB" w14:textId="77777777" w:rsidTr="005F46A5">
        <w:trPr>
          <w:gridAfter w:val="1"/>
          <w:wAfter w:w="2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C1022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7D6E9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083C1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F6492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60136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D490B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</w:tr>
      <w:tr w:rsidR="005F46A5" w:rsidRPr="005F46A5" w14:paraId="2209B0CE" w14:textId="77777777" w:rsidTr="005F46A5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7F897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C9BD3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6C29FD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93B9C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4A221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чел.-ч/тыс. км</w:t>
            </w:r>
          </w:p>
        </w:tc>
      </w:tr>
      <w:tr w:rsidR="005F46A5" w:rsidRPr="005F46A5" w14:paraId="27069AB4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D0A56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7654C3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298284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80E60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F46A5" w:rsidRPr="005F46A5" w14:paraId="52E7018C" w14:textId="77777777" w:rsidTr="005F46A5">
        <w:trPr>
          <w:gridAfter w:val="1"/>
          <w:wAfter w:w="2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69A95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92EA3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3017D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10A25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301B9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9FA76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F46A5" w:rsidRPr="005F46A5" w14:paraId="0EC370B5" w14:textId="77777777" w:rsidTr="005F46A5">
        <w:trPr>
          <w:gridAfter w:val="1"/>
          <w:wAfter w:w="2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3348D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7EA9B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1,2 до 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4289A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850 до 1150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A6F1C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95542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CA2A3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46A5" w:rsidRPr="005F46A5" w14:paraId="6D2254CA" w14:textId="77777777" w:rsidTr="005F46A5">
        <w:trPr>
          <w:gridAfter w:val="1"/>
          <w:wAfter w:w="2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C77D9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2AA9C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1,8 до 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C11F7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1150 до 1500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0E1446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0A801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E07CD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14:paraId="591BBFE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3</w:t>
      </w:r>
    </w:p>
    <w:p w14:paraId="189E820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Трудоемкость технического обслуживания и текущего ремонта автобусов</w:t>
      </w:r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64"/>
        <w:gridCol w:w="450"/>
        <w:gridCol w:w="273"/>
        <w:gridCol w:w="450"/>
        <w:gridCol w:w="2191"/>
        <w:gridCol w:w="2409"/>
        <w:gridCol w:w="1887"/>
        <w:gridCol w:w="20"/>
      </w:tblGrid>
      <w:tr w:rsidR="005F46A5" w:rsidRPr="005F46A5" w14:paraId="41E2BB00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EDF57F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EFC528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6B55F7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CDB4A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9949C8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B05E17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16696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D768F7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313824B4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2CBEC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A0831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64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D28B5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трудоемкость</w:t>
            </w:r>
          </w:p>
        </w:tc>
      </w:tr>
      <w:tr w:rsidR="005F46A5" w:rsidRPr="005F46A5" w14:paraId="292F75A3" w14:textId="77777777" w:rsidTr="005F46A5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E4EBA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312C7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8410B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ежедневного технического обслуживания, чел.-ч</w:t>
            </w:r>
          </w:p>
        </w:tc>
        <w:tc>
          <w:tcPr>
            <w:tcW w:w="42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8353B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</w:t>
            </w:r>
          </w:p>
        </w:tc>
      </w:tr>
      <w:tr w:rsidR="005F46A5" w:rsidRPr="005F46A5" w14:paraId="3BE0A666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C0C61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7CD61F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2F34B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05EE9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9F648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</w:tr>
      <w:tr w:rsidR="005F46A5" w:rsidRPr="005F46A5" w14:paraId="74B3986B" w14:textId="77777777" w:rsidTr="005F46A5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5C6D9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E5588D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830E7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CF8F2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чел.-ч/тыс. км</w:t>
            </w:r>
          </w:p>
        </w:tc>
      </w:tr>
      <w:tr w:rsidR="005F46A5" w:rsidRPr="005F46A5" w14:paraId="02A15120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EB252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FFC17F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30225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F46A5" w:rsidRPr="005F46A5" w14:paraId="2266C7B4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B1E7F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1D5A3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1B764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96373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D24C9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D2366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7E8BB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C324C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F46A5" w:rsidRPr="005F46A5" w14:paraId="00A19B44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C07FCF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80488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6B30B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39D0B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509320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CD13B3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DA876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883D3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F46A5" w:rsidRPr="005F46A5" w14:paraId="2D8FE2B2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CE24D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69361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4CBC5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E220F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18330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F6B228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19A1A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5AD45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F46A5" w:rsidRPr="005F46A5" w14:paraId="4D90999D" w14:textId="77777777" w:rsidTr="005F46A5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F8943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5ADBB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ACF91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DCC4F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07C265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5D8D5A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89BBB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F336F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14:paraId="3F620DD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4</w:t>
      </w:r>
    </w:p>
    <w:p w14:paraId="2FBA3AA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Трудоемкость технического обслуживания и текущего ремонта автомобилей грузовых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общего назначения с колесной формулой 4х2 и 6х4</w:t>
      </w:r>
    </w:p>
    <w:tbl>
      <w:tblPr>
        <w:tblW w:w="9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429"/>
        <w:gridCol w:w="530"/>
        <w:gridCol w:w="322"/>
        <w:gridCol w:w="530"/>
        <w:gridCol w:w="2122"/>
        <w:gridCol w:w="1984"/>
        <w:gridCol w:w="1887"/>
        <w:gridCol w:w="16"/>
      </w:tblGrid>
      <w:tr w:rsidR="005F46A5" w:rsidRPr="005F46A5" w14:paraId="78B055E1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6956C4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3249DC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4860A7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B0B770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7A3C8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71A03F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1D857B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966512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52244E5B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DB851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8D69A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нагрузка, т</w:t>
            </w:r>
          </w:p>
        </w:tc>
        <w:tc>
          <w:tcPr>
            <w:tcW w:w="58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1AB1D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трудоемкость</w:t>
            </w:r>
          </w:p>
        </w:tc>
      </w:tr>
      <w:tr w:rsidR="005F46A5" w:rsidRPr="005F46A5" w14:paraId="78EFC569" w14:textId="77777777" w:rsidTr="005F46A5">
        <w:trPr>
          <w:gridAfter w:val="1"/>
          <w:wAfter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DED21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2DF4A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0F64A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ежедневного технического обслуживания, чел.-ч</w:t>
            </w:r>
          </w:p>
        </w:tc>
        <w:tc>
          <w:tcPr>
            <w:tcW w:w="3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9597D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</w:t>
            </w:r>
          </w:p>
        </w:tc>
      </w:tr>
      <w:tr w:rsidR="005F46A5" w:rsidRPr="005F46A5" w14:paraId="1134217A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753BF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8A3F1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A2E5F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5E012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6065F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</w:tr>
      <w:tr w:rsidR="005F46A5" w:rsidRPr="005F46A5" w14:paraId="1756A265" w14:textId="77777777" w:rsidTr="005F46A5">
        <w:trPr>
          <w:gridAfter w:val="1"/>
          <w:wAfter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F5050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CE06B4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E3ED3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1088A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чел.-ч/тыс. км</w:t>
            </w:r>
          </w:p>
        </w:tc>
      </w:tr>
      <w:tr w:rsidR="005F46A5" w:rsidRPr="005F46A5" w14:paraId="6719ADC4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A0B39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176D58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CAA49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F46A5" w:rsidRPr="005F46A5" w14:paraId="0F02E6E4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F2C21C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18A68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B8B38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CCF86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62222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C59F8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865BC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7AE72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46A5" w:rsidRPr="005F46A5" w14:paraId="6240BE77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6067E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7E25A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76C4A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62AD1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97C35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2ECFD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E7DA5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AF619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F46A5" w:rsidRPr="005F46A5" w14:paraId="6E56403E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D7D3C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E4D03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13992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E8481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224DD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10B60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24EA4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3BE89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F46A5" w:rsidRPr="005F46A5" w14:paraId="7F94CAD8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EB797D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A0B11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B5880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2F7C5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C2A1C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C5064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8F2B2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779B7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F46A5" w:rsidRPr="005F46A5" w14:paraId="30C6BB46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36C8C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C0CA4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1C5BF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019EE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39BAE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C4894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D39AE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EA3A2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F46A5" w:rsidRPr="005F46A5" w14:paraId="0E9EE1E1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0B279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FBEBA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8B7CC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3E600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F65A3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EEAA0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FD5FB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4D46B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F46A5" w:rsidRPr="005F46A5" w14:paraId="301AF748" w14:textId="77777777" w:rsidTr="005F46A5">
        <w:trPr>
          <w:gridAfter w:val="1"/>
          <w:wAfter w:w="1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4C30E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5FD08A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41B66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FE629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1838A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415E2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C65DC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078F8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14:paraId="158D5495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5</w:t>
      </w:r>
    </w:p>
    <w:p w14:paraId="69F2A04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Трудоемкость технического обслуживания и текущего ремонта прицепов и полуприцепов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964"/>
        <w:gridCol w:w="1312"/>
        <w:gridCol w:w="1881"/>
        <w:gridCol w:w="1500"/>
        <w:gridCol w:w="988"/>
        <w:gridCol w:w="13"/>
      </w:tblGrid>
      <w:tr w:rsidR="005F46A5" w:rsidRPr="005F46A5" w14:paraId="7150E4E5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FBE74A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E4C266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028597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CBD716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0729A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D6C503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3E6AD0D8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6A191B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51FAA6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0983FB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18E73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трудоемкость</w:t>
            </w:r>
          </w:p>
        </w:tc>
      </w:tr>
      <w:tr w:rsidR="005F46A5" w:rsidRPr="005F46A5" w14:paraId="5FBF3396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DAC7E1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32C91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598D1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85758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F9B5C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</w:t>
            </w:r>
          </w:p>
        </w:tc>
      </w:tr>
      <w:tr w:rsidR="005F46A5" w:rsidRPr="005F46A5" w14:paraId="1B4ADA41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2AE65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D3AA8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42518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нагрузка, т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3EFA1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ежедневного технического обслуживания, чел.-ч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0C3D5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A99D9F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</w:tr>
      <w:tr w:rsidR="005F46A5" w:rsidRPr="005F46A5" w14:paraId="6E251A95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A3B214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F3612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E34F1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5D0B9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92F74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чел.-ч/тыс. км</w:t>
            </w:r>
          </w:p>
        </w:tc>
      </w:tr>
      <w:tr w:rsidR="005F46A5" w:rsidRPr="005F46A5" w14:paraId="66A1DDB3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79C46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6FBFF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252554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15C7E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F46A5" w:rsidRPr="005F46A5" w14:paraId="1C341365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C3097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одноосные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50357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и средняя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1EDD8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258E1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C7C59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F5150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F46A5" w:rsidRPr="005F46A5" w14:paraId="5B51A1A2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D8D48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двухосные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5EC3F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8FE08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8,0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5A544B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4986E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CA34A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46A5" w:rsidRPr="005F46A5" w14:paraId="39AA3295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B2B6F0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21156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3E6F0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и более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352C6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F4C68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72015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F46A5" w:rsidRPr="005F46A5" w14:paraId="5EC2FE2F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635F0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Полуприцепы одноосные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40CA9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A9985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8,0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45269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E5DCB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5180B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46A5" w:rsidRPr="005F46A5" w14:paraId="39E73943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9E42E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78FB4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4D5DC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и более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12E2C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593879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C5CA1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46A5" w:rsidRPr="005F46A5" w14:paraId="1CE46E29" w14:textId="77777777" w:rsidTr="005F46A5">
        <w:trPr>
          <w:gridAfter w:val="1"/>
          <w:wAfter w:w="1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8C95C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Полуприцепы многоосные (двухосные и более)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5BF13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4412AF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до 16,0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1AF03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7F6D8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9A1A0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14:paraId="0262CDA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6</w:t>
      </w:r>
    </w:p>
    <w:p w14:paraId="2377257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Трудоемкость технического обслуживания и текущего ремонта автомобилей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полноприводных односкатных с колесной формулой 4х4 и 6х6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719"/>
        <w:gridCol w:w="2371"/>
        <w:gridCol w:w="1842"/>
        <w:gridCol w:w="1887"/>
        <w:gridCol w:w="23"/>
      </w:tblGrid>
      <w:tr w:rsidR="005F46A5" w:rsidRPr="005F46A5" w14:paraId="7482D131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E59590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A7706D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9111DC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672652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360C4E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1A8F990D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A0423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19ADF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нагрузка, т</w:t>
            </w:r>
          </w:p>
        </w:tc>
        <w:tc>
          <w:tcPr>
            <w:tcW w:w="59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33E97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трудоемкость</w:t>
            </w:r>
          </w:p>
        </w:tc>
      </w:tr>
      <w:tr w:rsidR="005F46A5" w:rsidRPr="005F46A5" w14:paraId="43E6AB31" w14:textId="77777777" w:rsidTr="005F46A5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EF4B0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1D69E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74F5D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ежедневного технического обслуживания, чел.-ч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08566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</w:t>
            </w:r>
          </w:p>
        </w:tc>
      </w:tr>
      <w:tr w:rsidR="005F46A5" w:rsidRPr="005F46A5" w14:paraId="06CBDA73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425CA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E8608F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CD202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57263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6333E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</w:tr>
      <w:tr w:rsidR="005F46A5" w:rsidRPr="005F46A5" w14:paraId="5772904A" w14:textId="77777777" w:rsidTr="005F46A5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882EF7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7E949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1857E6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F0FEF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чел.-ч/тыс. км</w:t>
            </w:r>
          </w:p>
        </w:tc>
      </w:tr>
      <w:tr w:rsidR="005F46A5" w:rsidRPr="005F46A5" w14:paraId="6DB7CB4E" w14:textId="77777777" w:rsidTr="005F4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164E0F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BD73DC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1293A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F46A5" w:rsidRPr="005F46A5" w14:paraId="4591CB00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FF546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5641B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0,3 до 1,0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C2325A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6939C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DAA8F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F46A5" w:rsidRPr="005F46A5" w14:paraId="788C6C73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52597B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3A23B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1,0 до 3,0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79145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0D7CC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77F8B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F46A5" w:rsidRPr="005F46A5" w14:paraId="3A789A68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2962E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C4EE5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3,0 до 4,0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F8946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62764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61795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F46A5" w:rsidRPr="005F46A5" w14:paraId="490BC3C9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C84A2B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D22AE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4,0 до 6,0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C51DE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1A4C3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EBBF0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F46A5" w:rsidRPr="005F46A5" w14:paraId="16ABBBB3" w14:textId="77777777" w:rsidTr="005F46A5">
        <w:trPr>
          <w:gridAfter w:val="1"/>
          <w:wAfter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62E3D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CC7A1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6,0 до 8,0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739D6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6AD10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E224D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14:paraId="554C7E0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3.5. Величины разовой трудоемкости ЕО и удельной трудоемкости ТР, а также удельной оперативной трудоемкости ТО (без ежедневного), задаваемые в технической документации для базовых моделей изделий автомобильной техники общего назначения в первой категории условий эксплуатации, не должны превышать значений, приведенных в табл.2-5.</w:t>
      </w:r>
    </w:p>
    <w:p w14:paraId="728C58C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3.6. Величины разовой оперативной трудоемкости ЕО, а также удельной оперативной трудоемкости ТО и ТР для полноприводных автомобилей не должны превышать значений, приведенных в табл.6.</w:t>
      </w:r>
    </w:p>
    <w:p w14:paraId="0D3733B3" w14:textId="77777777" w:rsidR="005F46A5" w:rsidRPr="005F46A5" w:rsidRDefault="005F46A5" w:rsidP="005F46A5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t>ПРИЛОЖЕНИЕ 1</w:t>
      </w: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br/>
        <w:t>Справочное</w:t>
      </w:r>
    </w:p>
    <w:p w14:paraId="19C7065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ПОЯСНЕНИЯ К ТЕРМИНАМ, ПРИМЕНЯЕМЫМ В НАСТОЯЩЕМ СТАНДАРТЕ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103"/>
      </w:tblGrid>
      <w:tr w:rsidR="005F46A5" w:rsidRPr="005F46A5" w14:paraId="4A5233A8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49EBF4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EDAEA8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51EA1773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E948F9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5592B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F46A5" w:rsidRPr="005F46A5" w14:paraId="42D5134D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926D9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Специальные и специализированные изделия автомобильной техники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84343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21398-75*</w:t>
            </w:r>
          </w:p>
        </w:tc>
      </w:tr>
      <w:tr w:rsidR="005F46A5" w:rsidRPr="005F46A5" w14:paraId="350BCB06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52569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Автомобиль общего назначения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D02AE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"Общему классификатору промышленной и сельскохозяйственной продукции", "Высшие классификационные группировки", класс 45 - "Изделия автомобильной промышленности". Утвержден Госпланом СССР 18.12.1974 г.</w:t>
            </w:r>
          </w:p>
        </w:tc>
      </w:tr>
      <w:tr w:rsidR="005F46A5" w:rsidRPr="005F46A5" w14:paraId="203B8B10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78787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Ежедневное техническое обслуживание (ЕО), первое техническое обслуживание (ТО-1), второе техническое обслуживание (ТО-2), сезонное техническое обслуживание (СО)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B343C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операций, значащиеся под этими названиями в инструкциях по эксплуатации изделий конкретных марок, разрабатываемых заводами-изготовителями изделий в соответствии с ГОСТ 2.601-68**</w:t>
            </w:r>
          </w:p>
        </w:tc>
      </w:tr>
      <w:tr w:rsidR="005F46A5" w:rsidRPr="005F46A5" w14:paraId="58C10346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752A04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Текущий ремонт (ТР)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7DCB2B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18322-78</w:t>
            </w:r>
          </w:p>
        </w:tc>
      </w:tr>
      <w:tr w:rsidR="005F46A5" w:rsidRPr="005F46A5" w14:paraId="7BB340A6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A78AB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Базовая модель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826D9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условно принимаемое за основное при разработке и оформлении конструкторской документации и при организации производства</w:t>
            </w:r>
          </w:p>
        </w:tc>
      </w:tr>
      <w:tr w:rsidR="005F46A5" w:rsidRPr="005F46A5" w14:paraId="76A7677A" w14:textId="77777777" w:rsidTr="005F46A5">
        <w:tc>
          <w:tcPr>
            <w:tcW w:w="4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C417B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Оперативная трудоемкость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CF9C2E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21623-76</w:t>
            </w:r>
          </w:p>
        </w:tc>
      </w:tr>
    </w:tbl>
    <w:p w14:paraId="0F399A33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_______________</w:t>
      </w:r>
    </w:p>
    <w:p w14:paraId="2FDD5924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* Заменен ГОСТ 21398-89. На территории Российской Федерации ГОСТ 21398-89 не действует. Действует ГОСТ Р 52280-2004;</w:t>
      </w:r>
    </w:p>
    <w:p w14:paraId="59B17FE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** Заменен ГОСТ 2.601-95. На территории Российской Федерации ГОСТ 2.601-95 не действует. Действует ГОСТ 2.601-2006. - Примечания изготовителя базы данных.</w:t>
      </w:r>
    </w:p>
    <w:p w14:paraId="0984F294" w14:textId="77777777" w:rsidR="005F46A5" w:rsidRPr="005F46A5" w:rsidRDefault="005F46A5" w:rsidP="005F46A5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br/>
        <w:t>ПРИЛОЖЕНИЕ 2</w:t>
      </w: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br/>
        <w:t>Рекомендуемое</w:t>
      </w:r>
    </w:p>
    <w:p w14:paraId="4C5ABE94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КОЭФФИЦИЕНТЫ КОРРЕКТИРОВАНИЯ ПОКАЗАТЕЛЕЙ ЭКСПЛУАТАЦИОННОЙ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ТЕХНОЛОГИЧНОСТИ И РЕМОНТОПРИГОДНОСТИ В ЗАВИСИМОСТИ</w:t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ОТ КАТЕГОРИИ УСЛОВИЙ ЭКСПЛУАТАЦИИ</w:t>
      </w:r>
    </w:p>
    <w:p w14:paraId="504E110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1</w:t>
      </w:r>
    </w:p>
    <w:p w14:paraId="5DF0FF0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Характеристика условий эксплуатации изделий и соответствующие им категории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8345"/>
      </w:tblGrid>
      <w:tr w:rsidR="005F46A5" w:rsidRPr="005F46A5" w14:paraId="514D7A37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74B18C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CC00F4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687D4FA2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5672D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условий эксплуатации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7F5F7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изделий</w:t>
            </w:r>
          </w:p>
        </w:tc>
      </w:tr>
      <w:tr w:rsidR="005F46A5" w:rsidRPr="005F46A5" w14:paraId="25BD8132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64F50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19256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Автомобильные дороги I, II, III технических категорий за пределами пригородной зоны на равнинной, слабохолмистой и холмистой местности, имеющие цементобетонное и асфальтобетонное покрытия</w:t>
            </w:r>
          </w:p>
        </w:tc>
      </w:tr>
      <w:tr w:rsidR="005F46A5" w:rsidRPr="005F46A5" w14:paraId="31C70D2B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12106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0D782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Автомобильные дороги I, II, III технических категорий за пределами пригородной зоны в гористой местности, а также в малых городах и в пригородной зоне (во всех типах рельефа, кроме горного), имеющие цементобетонные и асфальтобетонные типы покрытий.</w:t>
            </w:r>
          </w:p>
        </w:tc>
      </w:tr>
      <w:tr w:rsidR="005F46A5" w:rsidRPr="005F46A5" w14:paraId="227AD8FF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50E96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17433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Автомобильные дороги I, II, III технических категорий за пределами пригородной зоны (во всех типах рельефа, кроме горного), а также в малых городах и в пригородной зоне на равнинной местности с покрытием из битумоминеральных смесей.</w:t>
            </w:r>
          </w:p>
        </w:tc>
      </w:tr>
      <w:tr w:rsidR="005F46A5" w:rsidRPr="005F46A5" w14:paraId="19A36506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E368B4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34B8D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Автомобильные дороги III, IV технических категорий за пределами пригородной зоны, имеющие щебеночные и гравийные покрытия во всех видах рельефа, кроме гористого и горного</w:t>
            </w:r>
          </w:p>
        </w:tc>
      </w:tr>
      <w:tr w:rsidR="005F46A5" w:rsidRPr="005F46A5" w14:paraId="230E7F83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67601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DDFBB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Автомобильные дороги I, II, III технических категорий за пределами пригородной зоны, автомобильные дороги в малых городах и в пригородной зоне (горная местность), а также в больших городах, имеющие цементобетонные и асфальтобетонные покрытия.</w:t>
            </w:r>
          </w:p>
        </w:tc>
      </w:tr>
      <w:tr w:rsidR="005F46A5" w:rsidRPr="005F46A5" w14:paraId="1C3E31DB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3E8ADE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62756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Автомобильные дороги I, II, III технических категорий за пределами пригородной зоны (горная местность), автомобильные дороги в малых городах </w:t>
            </w: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пригородной зоне (во всех типах рельефа, кроме равнинного), а также в больших городах (во всех типах рельефа, кроме горного), имеющие покрытия из битумоминеральных смесей.</w:t>
            </w:r>
          </w:p>
        </w:tc>
      </w:tr>
      <w:tr w:rsidR="005F46A5" w:rsidRPr="005F46A5" w14:paraId="097B8277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0B5EB3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3CBF1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Автомобильные дороги III, IV технических категорий за пределами пригородной зоны в гористой и горной местности, автомобильные дороги в пригородной зоне и улицы малых городов, улицы больших городов (все типы рельефа, кроме гористого и горного), имеющие щебеночные и гравийные покрытия.</w:t>
            </w:r>
          </w:p>
        </w:tc>
      </w:tr>
      <w:tr w:rsidR="005F46A5" w:rsidRPr="005F46A5" w14:paraId="33B5AE87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48D00B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62146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Автомобильные дороги III, IV, V технических категорий за пределами пригородной зоны, автомобильные дороги в пригородной зоне и улицы малых городов, улицы больших городов (равнинная местность), имеющие покрытия из булыжного и колотого камня, а также покрытия из грунтов, обработанных вяжущими материалами.</w:t>
            </w:r>
          </w:p>
        </w:tc>
      </w:tr>
      <w:tr w:rsidR="005F46A5" w:rsidRPr="005F46A5" w14:paraId="6CD5A7EA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F5353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07D72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Внутризаводские автомобильные дороги с усовершенствованными покрытиями.</w:t>
            </w:r>
          </w:p>
        </w:tc>
      </w:tr>
      <w:tr w:rsidR="005F46A5" w:rsidRPr="005F46A5" w14:paraId="2E9D9824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97B76A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643DA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Зимники</w:t>
            </w:r>
          </w:p>
        </w:tc>
      </w:tr>
      <w:tr w:rsidR="005F46A5" w:rsidRPr="005F46A5" w14:paraId="26D0F85B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E2759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C5296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Улицы больших городов, имеющие покрытия из битумоминеральных смесей (горная местность), щебеночные и гравийные покрытия (гористая и горная местность), покрытия из булыжного и колотого камня и из грунтов, обработанных вяжущими (все типы рельефа, кроме равнинного) материалами.</w:t>
            </w:r>
          </w:p>
        </w:tc>
      </w:tr>
      <w:tr w:rsidR="005F46A5" w:rsidRPr="005F46A5" w14:paraId="3D9B286F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D4828B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A0D86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Автомобильные дороги V технической категории за пределами пригородной зоны, автомобильные дороги в пригородной зоне и улицы малых городов (равнинная местность), имеющие грунтовое неукрепленное или укрепленное местными материалами покрытие.</w:t>
            </w:r>
          </w:p>
        </w:tc>
      </w:tr>
      <w:tr w:rsidR="005F46A5" w:rsidRPr="005F46A5" w14:paraId="100FF91A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46B009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01972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Лесовозные и лесохозяйственные грунтовые дороги, находящиеся в исправном состоянии</w:t>
            </w:r>
          </w:p>
        </w:tc>
      </w:tr>
      <w:tr w:rsidR="005F46A5" w:rsidRPr="005F46A5" w14:paraId="76DD1C60" w14:textId="77777777" w:rsidTr="005F46A5"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D416B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77394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Естественные грунтовые дороги, внутрихозяйственные дороги в сельской местности, внутрикарьерные и отвальные дороги, временные подъездные пути к различного рода строительным объектам и местам добычи песка, глины, камня и т.п. в периоды, когда там возможно движение</w:t>
            </w:r>
          </w:p>
        </w:tc>
      </w:tr>
    </w:tbl>
    <w:p w14:paraId="1B9688F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2</w:t>
      </w:r>
    </w:p>
    <w:p w14:paraId="79100E9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Коэффициенты корректирования периодичности технического обслуживания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и удельной оперативной трудоемкости текущего ремонта в зависимости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от категории условий эксплуатации изделий автомобильной техники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544"/>
        <w:gridCol w:w="4536"/>
      </w:tblGrid>
      <w:tr w:rsidR="005F46A5" w:rsidRPr="005F46A5" w14:paraId="224B636F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0D9C69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366041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177E0B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7E5688DE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32615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условий эксплуатации</w:t>
            </w:r>
          </w:p>
        </w:tc>
        <w:tc>
          <w:tcPr>
            <w:tcW w:w="8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4CCC2B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корректирования</w:t>
            </w:r>
          </w:p>
        </w:tc>
      </w:tr>
      <w:tr w:rsidR="005F46A5" w:rsidRPr="005F46A5" w14:paraId="4366965E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CDBB29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920050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 технического обслуживания, не менее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22F6E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удельной оперативной трудоемкости текущего ремонта, не более</w:t>
            </w:r>
          </w:p>
        </w:tc>
      </w:tr>
      <w:tr w:rsidR="005F46A5" w:rsidRPr="005F46A5" w14:paraId="690225E8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A3728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6EACB2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E3ECD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46A5" w:rsidRPr="005F46A5" w14:paraId="61857A78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7536C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C2858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891F6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F46A5" w:rsidRPr="005F46A5" w14:paraId="5D8A4CB4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B82A3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38113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F93C4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46A5" w:rsidRPr="005F46A5" w14:paraId="66DD1815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AD7839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E9EC9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261415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F46A5" w:rsidRPr="005F46A5" w14:paraId="4CC78D74" w14:textId="77777777" w:rsidTr="005F46A5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AF1CF2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A4B66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F65FD6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14:paraId="1E8A669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br/>
      </w: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Таблица 3</w:t>
      </w:r>
    </w:p>
    <w:p w14:paraId="3E8EABB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Коэффициенты корректирования периодичности технического обслуживания и удельной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трудоемкости текущего ремонта в зависимости от природно-климатических</w:t>
      </w: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br/>
        <w:t>районов эксплуатации изделий автомобильной техники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2268"/>
        <w:gridCol w:w="2552"/>
      </w:tblGrid>
      <w:tr w:rsidR="005F46A5" w:rsidRPr="005F46A5" w14:paraId="425A7E58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5D49F2" w14:textId="77777777" w:rsidR="005F46A5" w:rsidRPr="005F46A5" w:rsidRDefault="005F46A5" w:rsidP="005F46A5">
            <w:pPr>
              <w:spacing w:after="0" w:line="240" w:lineRule="auto"/>
              <w:rPr>
                <w:rFonts w:ascii="PT Sans" w:eastAsia="Times New Roman" w:hAnsi="PT Sans" w:cs="Times New Roman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EA7592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AD45C5" w14:textId="77777777" w:rsidR="005F46A5" w:rsidRPr="005F46A5" w:rsidRDefault="005F46A5" w:rsidP="005F46A5">
            <w:pPr>
              <w:spacing w:before="210" w:after="2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A5" w:rsidRPr="005F46A5" w14:paraId="23335D3D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ADBF7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Природно-климатический район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97661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корректирования</w:t>
            </w:r>
          </w:p>
        </w:tc>
      </w:tr>
      <w:tr w:rsidR="005F46A5" w:rsidRPr="005F46A5" w14:paraId="1483E1CB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48CB672" w14:textId="77777777" w:rsidR="005F46A5" w:rsidRPr="005F46A5" w:rsidRDefault="005F46A5" w:rsidP="005F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3FD94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 технического обслуживания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7E620A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удельной трудоемкости текущего ремонта</w:t>
            </w:r>
          </w:p>
        </w:tc>
      </w:tr>
      <w:tr w:rsidR="005F46A5" w:rsidRPr="005F46A5" w14:paraId="5E5D3866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79D927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Умеренно-холодный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8C6DA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58951D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46A5" w:rsidRPr="005F46A5" w14:paraId="00E2233D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498A1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Умеренно-теплый, умеренно-теплый влажный, теплый влажный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43FA9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F2137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F46A5" w:rsidRPr="005F46A5" w14:paraId="608F989C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6E8E8F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Жаркий сухой, очень жаркий сухой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5FF50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47839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F46A5" w:rsidRPr="005F46A5" w14:paraId="5504BA97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DE7C5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(со средней температурой января месяца от минус 15 до минус 20°)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546C53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CC5C7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F46A5" w:rsidRPr="005F46A5" w14:paraId="6A71BEFC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771FE1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(со средней температурой января месяца от минус 20 до минус 35°)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0EB93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E4D2A4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46A5" w:rsidRPr="005F46A5" w14:paraId="104C1253" w14:textId="77777777" w:rsidTr="005F46A5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B8A87C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холодный (со средней температурой января месяца от минус 35° и ниже)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2455D8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FE0D2B" w14:textId="77777777" w:rsidR="005F46A5" w:rsidRPr="005F46A5" w:rsidRDefault="005F46A5" w:rsidP="005F4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14:paraId="5167BC9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Примечание. При работе изделий автомобильной техники в условиях с высокой агрессивностью окружающей среды значение периодичности ТО уменьшают на 10%, а значение удельной трудоемкости ТР увеличивают на 10%.</w:t>
      </w:r>
    </w:p>
    <w:p w14:paraId="13BBB14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К условиям с высокой агрессивностью окружающей среды приравнивается работа изделий автомобильной техники по перевозке химических грузов, вызывающих интенсивную коррозию.</w:t>
      </w:r>
    </w:p>
    <w:p w14:paraId="228D776B" w14:textId="77777777" w:rsidR="005F46A5" w:rsidRPr="005F46A5" w:rsidRDefault="005F46A5" w:rsidP="005F46A5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t>ПРИЛОЖЕНИЕ 3</w:t>
      </w:r>
      <w:r w:rsidRPr="005F46A5">
        <w:rPr>
          <w:rFonts w:ascii="PT Sans" w:eastAsia="Times New Roman" w:hAnsi="PT Sans" w:cs="Times New Roman"/>
          <w:b/>
          <w:bCs/>
          <w:color w:val="5D6577"/>
          <w:sz w:val="27"/>
          <w:szCs w:val="27"/>
          <w:lang w:eastAsia="ru-RU"/>
        </w:rPr>
        <w:br/>
        <w:t>Рекомендуемое</w:t>
      </w:r>
    </w:p>
    <w:p w14:paraId="282B104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br/>
        <w:t>РЕКОМЕНДАЦИИ ПО ОБЕСПЕЧЕНИЮ РЕМОНТОПРИГОДНОСТИ И ЭКСПЛУАТАЦИОННОЙ ТЕХНОЛОГИЧНОСТИ ИЗДЕЛИЙ И ИХ СОСТАВНЫХ ЧАСТЕЙ</w:t>
      </w:r>
    </w:p>
    <w:p w14:paraId="171D17F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1. Конструкция сборочных единиц изделий</w:t>
      </w:r>
    </w:p>
    <w:p w14:paraId="522C345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1.1. Агрегаты и детали, подвергающиеся частому демонтажу в эксплуатации, должны быть легкосъемными.</w:t>
      </w:r>
    </w:p>
    <w:p w14:paraId="04E0EBD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1.2. Часто снимаемые крышке люков должны быть установлены на быстросъемных зажимах, не допускающих самопроизвольного открытия.</w:t>
      </w:r>
    </w:p>
    <w:p w14:paraId="43C5333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1.3. Для тросов и тяг привода управления системами изделия предусматривать направляющие из материалов, не нуждающихся в смазке.</w:t>
      </w:r>
    </w:p>
    <w:p w14:paraId="7F4B563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1.4. Обеспечивать на изделиях с пневматическими системами управления возможность накачивания и подкачивания шин от пневмосистемы.</w:t>
      </w:r>
    </w:p>
    <w:p w14:paraId="0838736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1.5. Обеспечивать установку на колесах грузовых автомобилей большей грузоподъемности и автобусов сигнализаторов снижения давления в шинах до минимально допустимой величины.</w:t>
      </w:r>
    </w:p>
    <w:p w14:paraId="78AEDE3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1.6. Внешние формы кузова легковых автомобилей, автобусов, грузовых автомобилей типа фургона, прицепа и полуприцепа выполнять приспособленными к механизированной наружной мойке на щеточных машинах.</w:t>
      </w:r>
    </w:p>
    <w:p w14:paraId="679115D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1.7. Обеспечивать возможность беспрепятственного прохождения моющих щеток при механизированной мойке изделий по его выступающим на поверхности кузова деталям и устройствам (стеклоочистителям, зеркалам заднего вида, антеннам, дополнительным фарам, сигналам и т.п.).</w:t>
      </w:r>
    </w:p>
    <w:p w14:paraId="43FEC16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1.8. Применять типы покрытия пола автобусов и способ его крепления, обеспечивающие возможность шланговой мойки салона без проникновения воды за панели и под покрытие пола. Предусматривать возможность полного слива воды, скопившейся на полу при мойке.</w:t>
      </w:r>
    </w:p>
    <w:p w14:paraId="1F4D608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1.9. Предусматривать конструктивное исполнение салона автобусов и его внутреннего оборудования, обеспечивающее возможность механизированной уборки, включая мойку и спецобработку дезинфицирующими составами.</w:t>
      </w:r>
    </w:p>
    <w:p w14:paraId="767D276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1.10. На изделиях с карбюраторными двигателями устанавливать устройства, исключающие попадание воды на электрооборудование двигателя при механизированной и шланговой мойке.</w:t>
      </w:r>
    </w:p>
    <w:p w14:paraId="3A5CBC9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1.11. Емкость и резервуары, уровни рабочих жидкостей в которых должны контролироваться (система смазки двигателя, система охлаждения, масляные картеры трансмиссии, бачки с тормозной жидкостью и др.), снабжать легко наблюдаемыми индикаторами уровня (щупы, прозрачные окна, дистанционные указатели и др.). Обеспечивать при необходимости установку встроенных устройств, позволяющих наблюдать за уровнем жидкости непосредственно на щитке приборов или дающих возможность легко и быстро его контролировать.</w:t>
      </w:r>
    </w:p>
    <w:p w14:paraId="12BC76A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1.12. В конструкциях топливной системы и других устройств, в которых используются специальные жидкости или масла, предусматривать возможность полного слива жидкости из всех баков и рабочих объемов.</w:t>
      </w:r>
    </w:p>
    <w:p w14:paraId="631FBCA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1.13. Обеспечивать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легкоразъемность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гидро- и пневмоприводов, питающих составные части изделия.</w:t>
      </w:r>
    </w:p>
    <w:p w14:paraId="53962FE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1.14. В случаях, когда по условиям принятых конструктивных решений заправка изделий топливом, водой, маслом и другими техническими жидкостями невозможна с уровня земли, обеспечивать установку встроенных устройств </w:t>
      </w:r>
      <w:proofErr w:type="gram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для доступа</w:t>
      </w:r>
      <w:proofErr w:type="gram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работающих к местам заправки, а также к ветровым и задним стеклам.</w:t>
      </w:r>
    </w:p>
    <w:p w14:paraId="43B8C92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1.15. Сборочные единицы и механизмы, масса которых превышает 30 кг, делать приспособленными к снятию и транспортированию грузоподъемными средствами (предусматривать захваты,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рымболты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, проушины и пр.).</w:t>
      </w:r>
    </w:p>
    <w:p w14:paraId="230A7A6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1.16. Способы крепления запасного колеса на изделия должны обеспечивать возможность установки его и снятия одним человеком при требуемом усилии, не превышающем 500 Н (50 кгс).</w:t>
      </w:r>
    </w:p>
    <w:p w14:paraId="6407481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1.17. На изделиях с несущим кузовом предусматривать конструктивно оформленные места, которые должны обеспечивать возможность вывешивания их домкратом не менее, чем в четырех точках, а также при выполнении технического обслуживания и текущего ремонта - подъемниками; для рамных изделий обеспечивать возможность вывешивания подъемниками и домкратами под мосты.</w:t>
      </w:r>
    </w:p>
    <w:p w14:paraId="06667A4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1.18. На легковых автомобилях и автобусах всех типов применять саморегулирующиеся тормоза.</w:t>
      </w:r>
    </w:p>
    <w:p w14:paraId="246E6F75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1.19. Применять легкосъемные тормозные барабаны, допускающие осмотр и обслуживание механизмов тормозов без демонтажа ступиц колес.</w:t>
      </w:r>
    </w:p>
    <w:p w14:paraId="3BB697A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1.20. Управляющий орган слива конденсата воздушных баллонов системы привода тормозов располагать в удобном для управления месте.</w:t>
      </w:r>
    </w:p>
    <w:p w14:paraId="66E575D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1.21. Обеспечивать простую и легкую замену или очистку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влагомаслоотделителя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пневматической системы привода тормозов.</w:t>
      </w:r>
    </w:p>
    <w:p w14:paraId="0BE71A45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1.22. Обеспечивать возможность свободного доступа к вентилям шин сдвоенных колес путем установки удлинителей вентилей.</w:t>
      </w:r>
    </w:p>
    <w:p w14:paraId="3BE7760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1.23. Аккумуляторные батареи с открытыми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межаккумуляторными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перемычками снабжать в месте их установки на изделии крышкой, надежно защищающей их верхнюю часть от пыли, влаги и грязи, или помещать в закрытый вентилируемый отсек.</w:t>
      </w:r>
    </w:p>
    <w:p w14:paraId="39A79D6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1.24. В системе электрооборудования изделий устанавливать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штеккерные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разъемы, позволяющие снимать основные узлы и осветительные приборы без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развинчивания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контактных соединений. Концентрировать разъемы в виде сгруппированных узлов.</w:t>
      </w:r>
    </w:p>
    <w:p w14:paraId="6E4EF885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1.25. В электрооборудовании изделий устанавливать разветвленную сеть предохранителей, обеспечивающих легкий и быстрый поиск неисправностей в системе.</w:t>
      </w:r>
    </w:p>
    <w:p w14:paraId="66A100A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1.26. В системе электрооборудования изделий всех типов применять генераторы переменного тока наиболее перспективной конструкции.</w:t>
      </w:r>
    </w:p>
    <w:p w14:paraId="49A3B82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1.27. Изделия всех типов оборудовать выключателями батарей аккумуляторов.</w:t>
      </w:r>
    </w:p>
    <w:p w14:paraId="28DC78B3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1.28. Обеспечивать легкое и быстрое снятие с изделия узлов и агрегатов запуска двигателя, а также систем питания, выпуска газов и охлаждения.</w:t>
      </w:r>
    </w:p>
    <w:p w14:paraId="2D0F3E4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1.29. Обеспечивать свободный доступ к объектам технического обслуживания на двигателе путем применения откидывающейся кабины или шарнирного блока "капот-крылья", снижения высоты крыльев, применения легкосъемных боковин капота.</w:t>
      </w:r>
    </w:p>
    <w:p w14:paraId="3CD4D5B4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1.30. Обеспечивать в конструкции изделия возможность нанесения и последующего возобновления в эксплуатации антикоррозийного покрытия наружных и внутренних поверхностей закрытых полостей элементов кузова, подверженных коррозии.</w:t>
      </w:r>
    </w:p>
    <w:p w14:paraId="4C171EC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1.31. Обеспечивать возможность снятия головки блока цилиндров двигателя непосредственно на изделии.</w:t>
      </w:r>
    </w:p>
    <w:p w14:paraId="2E05721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1.32. Обеспечивать в конструкциях двигателей применение магнитных щитков и пробок.</w:t>
      </w:r>
    </w:p>
    <w:p w14:paraId="21F6D17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1.33. Обеспечивать для изделий максимально возможную целесообразную степень унификации по сборочным единицам и составным частям, механизмам, комплектующему оборудованию, по размещению органов управления и контрольно-измерительных приборов.</w:t>
      </w:r>
    </w:p>
    <w:p w14:paraId="14CEBEC4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2. Компоновка сборочных единиц изделия</w:t>
      </w:r>
    </w:p>
    <w:p w14:paraId="5A791455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2.1. Принимать конструкцию и компоновку сборочных единиц изделия, обеспечивающие свободный доступ ко всем устройствам и деталям, подлежащим обслуживанию и контролю в эксплуатации.</w:t>
      </w:r>
    </w:p>
    <w:p w14:paraId="720DE46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2.2. Располагать спускные пробки емкостей в местах, обеспечивающих свободный доступ к ним и возможность выпуска жидкостей без потерь и попадания на поверхности прилегающих частей изделия.</w:t>
      </w:r>
    </w:p>
    <w:p w14:paraId="19FF65D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2.3. Размещать аккумуляторную батарею в местах, обеспечивающих возможность контроля уровня и плотности электролита в каждой банке непосредственно на изделии.</w:t>
      </w:r>
    </w:p>
    <w:p w14:paraId="75F27B4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3. Способы крепления сборочных единиц, крепежные детали</w:t>
      </w:r>
    </w:p>
    <w:p w14:paraId="72718B3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3.1. Типы крепежных деталей всех соединений изделия следует выбирать из условия применения минимального количества применяемых типоразмеров ключей.</w:t>
      </w:r>
    </w:p>
    <w:p w14:paraId="08F6D79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3.2. Число типоразмеров мест "под ключ" резьбовых пробок сливных и заливных отверстий емкостей должно быть не более трех.</w:t>
      </w:r>
    </w:p>
    <w:p w14:paraId="00B8584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3.3. Обеспечивать свободный доступ механизированным инструментом или динамометрическими ключами к крепежным соединениям большого или нормированного усилия затяжки. К остальным крепежным соединениям обеспечивать необходимый доступ крепежным инструментом.</w:t>
      </w:r>
    </w:p>
    <w:p w14:paraId="3B20432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3.4. Обеспечивать возможность выполнения работ по подтяжке болтовых соединений одним человеком.</w:t>
      </w:r>
    </w:p>
    <w:p w14:paraId="5FBD56C8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3.5. Все крепежные детали, подверженные воздействию влаги, должны иметь антикоррозийное покрытие.</w:t>
      </w:r>
    </w:p>
    <w:p w14:paraId="7DB7289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3.6. Применять, где это возможно, крепежные детали, изготовленные из пластмассы.</w:t>
      </w:r>
    </w:p>
    <w:p w14:paraId="769E402A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3.7. Применять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самоконтрящиеся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крепежные детали или другие средства, исключающие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самоотвинчивание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, в наиболее ответственных соединениях изделия, в первую очередь связанных с обеспечением безопасности движения.</w:t>
      </w:r>
    </w:p>
    <w:p w14:paraId="3010746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3.8. Соблюдать кратность периодичности крепежных работ периодичности технического обслуживания изделия.</w:t>
      </w:r>
    </w:p>
    <w:p w14:paraId="024DA773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4. Смазка</w:t>
      </w:r>
    </w:p>
    <w:p w14:paraId="781DA41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4.1. Предусматривать узлы трения, не требующие смазки.</w:t>
      </w:r>
    </w:p>
    <w:p w14:paraId="242C105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4.2. Число марок применяемых смазочных материалов (без учета заменителей) должно быть не более четырех для легковых автомобилей и шести - для грузовых автомобилей и автобусов общего назначения.</w:t>
      </w:r>
    </w:p>
    <w:p w14:paraId="497BED9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4.3. Предусматривать выбор типа конструкции, расположения и способа установки пресс-масленок, обеспечивающих возможность применения существующего стандартного смазочного оборудования с одним типом смазочного наконечника.</w:t>
      </w:r>
    </w:p>
    <w:p w14:paraId="325689BB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4.4. Конструкция и расположение наливных отверстий картеров агрегатов и узлов должны обеспечивать возможность отсасывания масла, промывки картеров и заливки свежим маслом через заливные горловины.</w:t>
      </w:r>
    </w:p>
    <w:p w14:paraId="3CEE9689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5. Антикоррозийная защита и окраска</w:t>
      </w:r>
    </w:p>
    <w:p w14:paraId="2811EA2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5.1. Антикоррозийная защита кабин, кузовов и их окраска при изготовлении должны обеспечивать:</w:t>
      </w:r>
    </w:p>
    <w:p w14:paraId="5251831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отсутствие появления ржавчины на внешних поверхностях не менее трех </w:t>
      </w:r>
      <w:proofErr w:type="gram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лет;*</w:t>
      </w:r>
      <w:proofErr w:type="gramEnd"/>
    </w:p>
    <w:p w14:paraId="1C1F9CF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lastRenderedPageBreak/>
        <w:t>________________</w:t>
      </w:r>
    </w:p>
    <w:p w14:paraId="03D4A63E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* Для первой категории условий эксплуатации и климатических районов с коэффициентом корректирования, равным 1,0.</w:t>
      </w:r>
    </w:p>
    <w:p w14:paraId="0FFA401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отсутствие язвин и сквозных коррозионных повреждений не менее пяти </w:t>
      </w:r>
      <w:proofErr w:type="gram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лет.*</w:t>
      </w:r>
      <w:proofErr w:type="gramEnd"/>
    </w:p>
    <w:p w14:paraId="0E79623D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________________</w:t>
      </w:r>
    </w:p>
    <w:p w14:paraId="61BA744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* Для первой категории условий эксплуатации и климатических районов с коэффициентом корректирования, равным 1,0.</w:t>
      </w:r>
    </w:p>
    <w:p w14:paraId="490AE75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5.2. Срок службы лакокрасочных покрытий кузовов должен соответствовать ресурсу автомобиля или кузова (кабины) до капитального </w:t>
      </w:r>
      <w:proofErr w:type="gram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ремонта.*</w:t>
      </w:r>
      <w:proofErr w:type="gramEnd"/>
    </w:p>
    <w:p w14:paraId="425A970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________________</w:t>
      </w:r>
    </w:p>
    <w:p w14:paraId="2860C2E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* Для первой категории условий эксплуатации и климатических районов с коэффициентом корректирования, равным 1,0.</w:t>
      </w:r>
    </w:p>
    <w:p w14:paraId="23211BB0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5.3. Обеспечивать доступ (отверстия, каналы, люки и т.д.) к внутренним поверхностям кузова и кабины, подверженным коррозии, для контроля и проведения антикоррозийных мер в эксплуатации.</w:t>
      </w:r>
    </w:p>
    <w:p w14:paraId="483002A2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5.4. Предусмотреть установку пробок, люков и других приспособлений, обеспечивающих слив из полостей кузова влаги и конденсата.</w:t>
      </w:r>
    </w:p>
    <w:p w14:paraId="74E1D691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5.5. Исключить места скопления грязи (ниши, ловушки и т.д.) на поверхностях кузова и кабин, обеспечить хорошую приспособленность кузовов и кабин к проведению моечных и антикоррозийных работ.</w:t>
      </w:r>
    </w:p>
    <w:p w14:paraId="16F1711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5.6. Все крепежные детали, металлические трубопроводы, тяги, подверженные действию влаги, должны иметь антикоррозийное покрытие.</w:t>
      </w:r>
    </w:p>
    <w:p w14:paraId="478C2EEF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b/>
          <w:bCs/>
          <w:color w:val="5D6577"/>
          <w:sz w:val="21"/>
          <w:szCs w:val="21"/>
          <w:lang w:eastAsia="ru-RU"/>
        </w:rPr>
        <w:t>6. Техническая диагностика сборочных единиц изделия</w:t>
      </w:r>
    </w:p>
    <w:p w14:paraId="67F16DC6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6.1. В конструкциях сборочных единиц изделия устанавливать специальные приспособления и устройства для подсоединения стандартной диагностической аппаратуры.</w:t>
      </w:r>
    </w:p>
    <w:p w14:paraId="340D34CC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6.2. Располагать присоединительные разъемы для подключения требуемой диагностической аппаратуры, устанавливаемые непосредственно на изделии, так, чтобы они не затрудняли доступа к отдельным агрегатам и сборочным единицам и не препятствовали выполнению монтажных и демонтажных работ при техническом обслуживании и текущем ремонте изделия. Концентрировать места подсоединения аппаратуры.</w:t>
      </w:r>
    </w:p>
    <w:p w14:paraId="79AF573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6.3. В системах гидро- и </w:t>
      </w:r>
      <w:proofErr w:type="spellStart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пневмоусиления</w:t>
      </w:r>
      <w:proofErr w:type="spellEnd"/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 xml:space="preserve"> механизма изделия предусматривать устройства, позволяющие контролировать техническое состояние систем без разборки и снятия их с изделия.</w:t>
      </w:r>
    </w:p>
    <w:p w14:paraId="56B1C267" w14:textId="77777777" w:rsidR="005F46A5" w:rsidRPr="005F46A5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6.4. Принимать тип конструкции головки блока двигателя и расположение запальных свечей и форсунок, обеспечивающие возможность измерения величины компрессии в цилиндрах на полнокомплектном изделии.</w:t>
      </w:r>
    </w:p>
    <w:p w14:paraId="3F310F5F" w14:textId="563FD5EA" w:rsidR="00B14E79" w:rsidRDefault="005F46A5" w:rsidP="005F46A5">
      <w:pPr>
        <w:shd w:val="clear" w:color="auto" w:fill="FFFFFF"/>
        <w:spacing w:before="100" w:beforeAutospacing="1" w:after="100" w:afterAutospacing="1" w:line="240" w:lineRule="auto"/>
        <w:jc w:val="both"/>
      </w:pPr>
      <w:r w:rsidRPr="005F46A5">
        <w:rPr>
          <w:rFonts w:ascii="PT Sans" w:eastAsia="Times New Roman" w:hAnsi="PT Sans" w:cs="Times New Roman"/>
          <w:color w:val="5D6577"/>
          <w:sz w:val="21"/>
          <w:szCs w:val="21"/>
          <w:lang w:eastAsia="ru-RU"/>
        </w:rPr>
        <w:t>6.5. В конструкциях тормозов грузовых автомобилей и автобусов предусматривать возможность визуального контроля толщины фрикционных накладок тормозных колодок без разборки (лючки, закрываемые легкосъемными пробками и др.) или наличие сигнализирующего устройства о предельном износе деталей.</w:t>
      </w:r>
    </w:p>
    <w:sectPr w:rsidR="00B14E79" w:rsidSect="00974B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4"/>
    <w:rsid w:val="000724FE"/>
    <w:rsid w:val="000E485B"/>
    <w:rsid w:val="00267DA4"/>
    <w:rsid w:val="005F46A5"/>
    <w:rsid w:val="00974BF7"/>
    <w:rsid w:val="009C6632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CA53-BF57-4520-A0A9-90683FA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C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6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4002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2023-06-26T13:54:00Z</dcterms:created>
  <dcterms:modified xsi:type="dcterms:W3CDTF">2023-06-26T14:02:00Z</dcterms:modified>
</cp:coreProperties>
</file>