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Утверждены новые правила обращения с отходами производства и потребления в части осветительных устройств, электрических ламп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Данными правилами установлены требования к местам накопления отработанных ртутьсодержащих ламп и порядку информирования потребителей о расположении данных мест, транспортированию указанных отходов, их последующей утилизации и обезвреживанию.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Захоронение отработанных ртутьсодержащих ламп запрещено.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Указанное постановление Правительства РФ от 30.05.2026 № 651 вступает в законную силу с 1 сентября 2026 года и действует до 1 сентября 2032 года.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</w:t>
      </w:r>
      <w:r>
        <w:rPr>
          <w:rFonts w:ascii="Times New Roman" w:hAnsi="Times New Roman"/>
          <w:b w:val="0"/>
          <w:sz w:val="28"/>
        </w:rPr>
        <w:t xml:space="preserve">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000FF"/>
      <w:u w:val="single"/>
    </w:rPr>
  </w:style>
  <w:style w:styleId="Style_12_ch" w:type="character">
    <w:name w:val="Hyperlink"/>
    <w:basedOn w:val="Style_9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2026-07-30T12:08:26Z</dcterms:modified>
</cp:coreProperties>
</file>