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Ответственность юридических лиц за коррупционные правонарушения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</w:t>
      </w:r>
      <w:r>
        <w:rPr>
          <w:rFonts w:ascii="Times New Roman" w:hAnsi="Times New Roman"/>
          <w:b w:val="0"/>
          <w:color w:val="000000"/>
          <w:sz w:val="28"/>
          <w:u w:val="none"/>
        </w:rPr>
        <w:t>вии 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законодательством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Российской Федерации.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Применение за коррупционное правонарушение мер ответственности к юридическому лицу не освобождает от ответственности за д</w:t>
      </w:r>
      <w:r>
        <w:rPr>
          <w:rFonts w:ascii="Times New Roman" w:hAnsi="Times New Roman"/>
          <w:b w:val="0"/>
          <w:sz w:val="28"/>
        </w:rPr>
        <w:t>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2"/>
    <w:link w:val="Style_12_ch"/>
    <w:rPr>
      <w:color w:themeColor="hyperlink" w:val="0000FF"/>
      <w:u w:val="single"/>
    </w:rPr>
  </w:style>
  <w:style w:styleId="Style_12_ch" w:type="character">
    <w:name w:val="Hyperlink"/>
    <w:basedOn w:val="Style_2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2026-06-11T10:58:54Z</dcterms:modified>
</cp:coreProperties>
</file>