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Осуществление анализа сведений о доходах, об имуществе и обязательствах имущественного характера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законом.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2026-06-11T09:42:01Z</dcterms:modified>
</cp:coreProperties>
</file>