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Налоговые уведомления</w:t>
      </w:r>
    </w:p>
    <w:p w14:paraId="02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 01.08.2026 налоговые уведомления будут приходить по умолчанию на Госуслуги. Это не затронет граждан, которые через этот портал попросили налоговиков не уведомлять таким способом и не отозвали данную просьбу. </w:t>
      </w:r>
    </w:p>
    <w:p w14:paraId="03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Если уведомление невозможно передать в электронной форме через Госуслуги или личный кабинет налогоплательщика то его направят заказным письмом. Сохраняется право по заявлению получить бумажное уведомление под расписку в МФЦ или в налоговом органе.</w:t>
      </w:r>
    </w:p>
    <w:p w14:paraId="04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5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themeColor="hyperlink" w:val="0000FF"/>
      <w:u w:val="single"/>
    </w:rPr>
  </w:style>
  <w:style w:styleId="Style_12_ch" w:type="character">
    <w:name w:val="Hyperlink"/>
    <w:basedOn w:val="Style_8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2026-07-27T12:31:59Z</dcterms:modified>
</cp:coreProperties>
</file>