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Основные принципы противодействия коррупции</w:t>
      </w:r>
      <w:r>
        <w:rPr>
          <w:rFonts w:ascii="Times New Roman" w:hAnsi="Times New Roman"/>
          <w:b w:val="0"/>
          <w:sz w:val="28"/>
        </w:rPr>
        <w:t> 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Противодействие коррупции в Российской Федерации основывается на следующих основных принципах:</w:t>
      </w:r>
    </w:p>
    <w:p w14:paraId="0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признание, обеспечение и защита основных прав и свобод человека и гражданина;</w:t>
      </w:r>
    </w:p>
    <w:p w14:paraId="0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законность;</w:t>
      </w:r>
    </w:p>
    <w:p w14:paraId="0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3) публичность и открытость деятельности государственных органов и органов местного самоуправления;</w:t>
      </w:r>
    </w:p>
    <w:p w14:paraId="0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4) неотвратимость ответственности за совершение коррупционных правонарушений;</w:t>
      </w:r>
    </w:p>
    <w:p w14:paraId="0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14:paraId="0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6) приоритетное п</w:t>
      </w:r>
      <w:r>
        <w:rPr>
          <w:rFonts w:ascii="Times New Roman" w:hAnsi="Times New Roman"/>
          <w:b w:val="0"/>
          <w:sz w:val="28"/>
        </w:rPr>
        <w:t>рименение</w:t>
      </w:r>
      <w:r>
        <w:rPr>
          <w:rFonts w:ascii="Times New Roman" w:hAnsi="Times New Roman"/>
          <w:b w:val="0"/>
          <w:sz w:val="28"/>
        </w:rPr>
        <w:t xml:space="preserve"> мер по предупреждению коррупции;</w:t>
      </w:r>
    </w:p>
    <w:p w14:paraId="09000000">
      <w:pPr>
        <w:spacing w:after="0" w:before="168"/>
        <w:ind w:firstLine="540" w:left="0" w:right="0"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7) сотрудничество государства с</w:t>
      </w:r>
      <w:r>
        <w:rPr>
          <w:rFonts w:ascii="Times New Roman" w:hAnsi="Times New Roman"/>
          <w:b w:val="0"/>
          <w:sz w:val="28"/>
        </w:rPr>
        <w:t xml:space="preserve"> институтами гражданского общества, международными организациями и физическими лицами.</w:t>
      </w:r>
    </w:p>
    <w:p w14:paraId="0A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2026-06-11T09:40:18Z</dcterms:modified>
</cp:coreProperties>
</file>