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Правовая основа противодействия коррупции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</w:t>
      </w:r>
      <w:r>
        <w:rPr>
          <w:rFonts w:ascii="Times New Roman" w:hAnsi="Times New Roman"/>
          <w:b w:val="0"/>
          <w:color w:val="000000"/>
          <w:sz w:val="28"/>
          <w:u w:val="none"/>
        </w:rPr>
        <w:t>авовую основу противодействия коррупции составляют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Конституция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Российской Федерации, федеральные конституционные законы, общепризнанные принципы и нормы международного права и международные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договоры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2026-06-11T09:39:12Z</dcterms:modified>
</cp:coreProperties>
</file>