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14:paraId="04000000">
      <w:pPr>
        <w:spacing w:after="0" w:before="0"/>
        <w:ind w:firstLine="540" w:left="0" w:right="0"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Невыполнение государственным или муниципальным служащим должностной (служебной) обязанности, предусмотренной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частью 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настоящей статьи, является право</w:t>
      </w:r>
      <w:r>
        <w:rPr>
          <w:rFonts w:ascii="Times New Roman" w:hAnsi="Times New Roman"/>
          <w:b w:val="0"/>
          <w:sz w:val="28"/>
        </w:rPr>
        <w:t>нарушением, влекущим его увольнение с государственной или муниципальной службы либо привлечен</w:t>
      </w:r>
      <w:r>
        <w:rPr>
          <w:rFonts w:ascii="Times New Roman" w:hAnsi="Times New Roman"/>
          <w:b w:val="0"/>
          <w:sz w:val="28"/>
        </w:rPr>
        <w:t>ие его к иным видам ответственности в соответствии с законодательством Российской Федерации.</w:t>
      </w:r>
    </w:p>
    <w:p w14:paraId="05000000">
      <w:pPr>
        <w:widowControl w:val="1"/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Информация подготовлена прокуратурой </w:t>
      </w:r>
      <w:r>
        <w:rPr>
          <w:rFonts w:ascii="Times New Roman" w:hAnsi="Times New Roman"/>
          <w:color w:val="000000"/>
          <w:sz w:val="28"/>
          <w:u w:val="none"/>
        </w:rPr>
        <w:t>Яковлевского</w:t>
      </w:r>
      <w:r>
        <w:rPr>
          <w:rFonts w:ascii="Times New Roman" w:hAnsi="Times New Roman"/>
          <w:color w:val="000000"/>
          <w:sz w:val="28"/>
          <w:u w:val="none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000FF"/>
      <w:u w:val="single"/>
    </w:rPr>
  </w:style>
  <w:style w:styleId="Style_12_ch" w:type="character">
    <w:name w:val="Hyperlink"/>
    <w:basedOn w:val="Style_9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2026-06-11T11:17:21Z</dcterms:modified>
</cp:coreProperties>
</file>