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before="0"/>
        <w:ind w:firstLine="540" w:left="0" w:right="0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1"/>
          <w:sz w:val="28"/>
        </w:rPr>
        <w:t>Меры по профилактике коррупции</w:t>
      </w:r>
    </w:p>
    <w:p w14:paraId="02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>Профилактика коррупции осуществляется путем применения следующих основных мер:</w:t>
      </w:r>
    </w:p>
    <w:p w14:paraId="03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1) формирование в обществе нетерпимости к коррупционному поведению;</w:t>
      </w:r>
    </w:p>
    <w:p w14:paraId="04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2)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антикоррупционная экспертиза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правовых актов и их проектов;</w:t>
      </w:r>
    </w:p>
    <w:p w14:paraId="05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2.1)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рассмотрение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в федеральных органах государственной власти, органах государственной власти субъектов Российской Федерации, органах местного самоуправления, других органах, организациях, наделенных федеральным законом отдельными государственными или иными публичными полномочиями, не реже одного раза в квартал вопросов правоприменительной практики по результатам вступивших в законную силу решений судов, арбитражных судов о признании недействительными ненормативных правовых актов, незаконными решений и действий (бездействия) указанных органов, организаций и их должностных лиц в целях выработки и принятия мер по предупреждению и устранению причин выявленных нарушений;</w:t>
      </w:r>
    </w:p>
    <w:p w14:paraId="06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3) предъявление в установленном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законом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порядке квалификационных требований к гражданам, претендующим на замещение государственных или муниципальных должностей и должностей государственной или муниципальной службы, а также проверка в установленном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порядке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сведений, представляемых указанными гражданами;</w:t>
      </w:r>
    </w:p>
    <w:p w14:paraId="07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4) установление в качестве основания для освобождения от замещаемой должности и (или) увольнения лица, замещающего должность государственной или муниципальной службы, включенную в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перечень</w:t>
      </w:r>
      <w:r>
        <w:rPr>
          <w:rFonts w:ascii="Times New Roman" w:hAnsi="Times New Roman"/>
          <w:b w:val="0"/>
          <w:color w:val="000000"/>
          <w:sz w:val="28"/>
          <w:u w:val="none"/>
        </w:rPr>
        <w:t>, установленный нормативными правовыми актами Российской Федерации,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сведений, представления заведомо неполных сведений, за исключением случаев, установленных федеральными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законами</w:t>
      </w:r>
      <w:r>
        <w:rPr>
          <w:rFonts w:ascii="Times New Roman" w:hAnsi="Times New Roman"/>
          <w:b w:val="0"/>
          <w:color w:val="000000"/>
          <w:sz w:val="28"/>
          <w:u w:val="none"/>
        </w:rPr>
        <w:t>, либо представления заведомо недостоверных сведений о своих доходах, расходах, имуществе и обязательствах имущественного характера, а также представления заведомо ложных сведений о доходах, расходах, об имуществе и обязательствах имущественного характера своих супруги (супруга) и несовершеннолетних детей;</w:t>
      </w:r>
    </w:p>
    <w:p w14:paraId="08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5) внедрение в практику кадровой работы федеральных органов государственной власти, органов государственной власти субъектов Российской Федерации, органов местного самоуправления правила, в соответствии с которым длительное,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ему воинского или специального звания, классного чина, дипломатического ранга или при его поощрении;</w:t>
      </w:r>
    </w:p>
    <w:p w14:paraId="09000000">
      <w:pPr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b w:val="0"/>
          <w:color w:val="000000"/>
          <w:sz w:val="28"/>
          <w:u w:val="none"/>
        </w:rPr>
        <w:t>6) развитие институтов общественного и парламентского контроля за соблюдением законодательства Российской Федерации о противодействии коррупции.</w:t>
      </w:r>
    </w:p>
    <w:p w14:paraId="0A000000">
      <w:pPr>
        <w:widowControl w:val="1"/>
        <w:spacing w:after="0" w:before="0"/>
        <w:ind w:firstLine="540" w:left="0" w:right="0"/>
        <w:jc w:val="both"/>
        <w:rPr>
          <w:rFonts w:ascii="Times New Roman" w:hAnsi="Times New Roman"/>
          <w:b w:val="0"/>
          <w:color w:val="000000"/>
          <w:sz w:val="28"/>
          <w:u w:val="none"/>
        </w:rPr>
      </w:pPr>
      <w:r>
        <w:rPr>
          <w:rFonts w:ascii="Times New Roman" w:hAnsi="Times New Roman"/>
          <w:color w:val="000000"/>
          <w:sz w:val="28"/>
          <w:u w:val="none"/>
        </w:rPr>
        <w:t xml:space="preserve">Информация подготовлена прокуратурой </w:t>
      </w:r>
      <w:r>
        <w:rPr>
          <w:rFonts w:ascii="Times New Roman" w:hAnsi="Times New Roman"/>
          <w:color w:val="000000"/>
          <w:sz w:val="28"/>
          <w:u w:val="none"/>
        </w:rPr>
        <w:t>Яковлевского</w:t>
      </w:r>
      <w:r>
        <w:rPr>
          <w:rFonts w:ascii="Times New Roman" w:hAnsi="Times New Roman"/>
          <w:color w:val="000000"/>
          <w:sz w:val="28"/>
          <w:u w:val="none"/>
        </w:rPr>
        <w:t xml:space="preserve"> района.</w:t>
      </w:r>
    </w:p>
    <w:p w14:paraId="0B000000"/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basedOn w:val="Style_12"/>
    <w:link w:val="Style_11_ch"/>
    <w:rPr>
      <w:color w:themeColor="hyperlink" w:val="0000FF"/>
      <w:u w:val="single"/>
    </w:rPr>
  </w:style>
  <w:style w:styleId="Style_11_ch" w:type="character">
    <w:name w:val="Hyperlink"/>
    <w:basedOn w:val="Style_12_ch"/>
    <w:link w:val="Style_11"/>
    <w:rPr>
      <w:color w:themeColor="hyperlink" w:val="0000FF"/>
      <w:u w:val="single"/>
    </w:rPr>
  </w:style>
  <w:style w:styleId="Style_13" w:type="paragraph">
    <w:name w:val="Footnote"/>
    <w:link w:val="Style_13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2" w:type="paragraph">
    <w:name w:val="Default Paragraph Font"/>
    <w:link w:val="Style_12_ch"/>
  </w:style>
  <w:style w:styleId="Style_12_ch" w:type="character">
    <w:name w:val="Default Paragraph Font"/>
    <w:link w:val="Style_12"/>
  </w:style>
  <w:style w:styleId="Style_18" w:type="paragraph">
    <w:name w:val="toc 5"/>
    <w:next w:val="Style_1"/>
    <w:link w:val="Style_18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2025-02-02T17:16:00Z</dcterms:created>
  <dcterms:modified xsi:type="dcterms:W3CDTF">2026-06-11T11:02:19Z</dcterms:modified>
</cp:coreProperties>
</file>