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Если посетить спортзал, бассейн, секцию можно вернуть 13 % затрат через социальный налоговый вычет</w:t>
      </w:r>
    </w:p>
    <w:p w14:paraId="0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Указанные обстоятельства распространяются на родителей, оплачивающих занятия для своих детей в возрасте до 18 лет (или до 24 лет если ребенок обучается в высшем учебном заведении очно).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 2026 года за родителей – пенсионеров (при условии что они получают пенсию по старости, социальную, за выслугу лет, по инвалидности или потере кормильца).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Перечень услуг подлежащих вычету: абонементы в фитнес клубы и бассейны, индивидуальные тренировки проводимые аккредитованными тренерами, участие в официальных спортивных мероприятиях.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Основное условие: организации или тренеры, предоставляющие услугу должны быть включены в реестр Министерства спорта Российской Федерации.</w:t>
      </w:r>
    </w:p>
    <w:p w14:paraId="06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Максимальная сумма расходов для вычета: не может превышать 150 000 рублей в год, размер вычета составляет до 19 500 рублей.</w:t>
      </w:r>
    </w:p>
    <w:p w14:paraId="07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Право на вычет действует три года.</w:t>
      </w:r>
    </w:p>
    <w:p w14:paraId="08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</w:t>
      </w:r>
      <w:r>
        <w:rPr>
          <w:rFonts w:ascii="Times New Roman" w:hAnsi="Times New Roman"/>
          <w:sz w:val="28"/>
        </w:rPr>
        <w:t>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basedOn w:val="Style_11"/>
    <w:link w:val="Style_12_ch"/>
    <w:rPr>
      <w:color w:themeColor="hyperlink" w:val="0000FF"/>
      <w:u w:val="single"/>
    </w:rPr>
  </w:style>
  <w:style w:styleId="Style_12_ch" w:type="character">
    <w:name w:val="Hyperlink"/>
    <w:basedOn w:val="Style_11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2026-06-26T13:31:37Z</dcterms:modified>
</cp:coreProperties>
</file>