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Реестр лиц, уволенных в связи с утратой доверия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доверия, сроком на пять лет с момента принятия акта, явившегося основанием для включения в реестр.</w:t>
      </w:r>
    </w:p>
    <w:p w14:paraId="03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14:paraId="04000000">
      <w:pPr>
        <w:spacing w:after="0" w:before="0"/>
        <w:ind w:firstLine="540" w:left="0" w:right="0"/>
        <w:jc w:val="both"/>
        <w:rPr>
          <w:b w:val="0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2026-06-11T11:00:20Z</dcterms:modified>
</cp:coreProperties>
</file>