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Об изменениях в статью 38 Федерального закона «О занятости населения в Российской Федерации»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Вступившим в силу с 01.03.2026 Федеральным законом от 28.11.2025 № 445-ФЗ внесены изменения в ст. 38 Федерального закона от 12.12.2023 № 565-ФЗ «О занятости населения в Российской Федерации» в силу которых квоты для инвалидов необходимо устанавливать для любых обособленных подразделений организаций, которые находятся в разных регионах.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 действующей редакции указанной нормы по такому принципу квоты определяли только для представительств и филиалов.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 подразделениям будут применять квоты субъектов Российской Федерации, в которых они расположены.</w:t>
      </w:r>
    </w:p>
    <w:p w14:paraId="05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Работодателям, осуществляющим деятельность на территории Курской области, у которых численность работников составляет от 36 до 100 человек включительно, устанавливается квота для приема на работу инвалидов в размере 2 процентов от среднесписочной численности работников, с численностью работников свыше 100 человек – 3 процентов.</w:t>
      </w:r>
    </w:p>
    <w:p w14:paraId="06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2026-07-09T06:47:43Z</dcterms:modified>
</cp:coreProperties>
</file>