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«Гонки закончились уголовным делом»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20-летнего жителя Борисовского района. Он признан виновным по ч. 3 ст. 264 УК РФ (нарушение лицом, управляющим автомобилем, правил дорожного движения, повлекшее по неосторожности смерть человека).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декабре 2025 года мужчина двигаясь  на грузовом фургоне по автодороге «Томаровка-Строитель-Крым» намереваясь осуществить маневр обгона, не предвидя наступления общественно опасных последствий своих действий, не оценил складывающуюся дорожную ситуацию, не убедился в безопасности, осуществил маневр обгона в результате чего создал помеху для двигающегося во встречном направлении автомобиля марки ауди 80 в результате чего совершил с ним столкновение.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 полученных телесных повреждений водитель встречного автомобиля скончался на месте дорожно-транспортного происшествия.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судебном заседании обвиняемый вину признал в полном объеме, в содеянном раскаялся. 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принудительных работ на срок 2 года с удержанием 5 % заработка в доход государства, с лишением права заниматься деятельностью, связанной с управлением транспортными  средствами на срок 2 года 10 месяцев.</w:t>
      </w:r>
    </w:p>
    <w:p w14:paraId="07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Unresolved Mention"/>
    <w:basedOn w:val="Style_4"/>
    <w:link w:val="Style_9_ch"/>
    <w:rPr>
      <w:color w:val="605E5C"/>
      <w:shd w:fill="E1DFDD" w:val="clear"/>
    </w:rPr>
  </w:style>
  <w:style w:styleId="Style_9_ch" w:type="character">
    <w:name w:val="Unresolved Mention"/>
    <w:basedOn w:val="Style_4_ch"/>
    <w:link w:val="Style_9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4"/>
    <w:link w:val="Style_13_ch"/>
    <w:rPr>
      <w:color w:themeColor="hyperlink" w:val="0563C1"/>
      <w:u w:val="single"/>
    </w:rPr>
  </w:style>
  <w:style w:styleId="Style_13_ch" w:type="character">
    <w:name w:val="Hyperlink"/>
    <w:basedOn w:val="Style_4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2026-06-16T08:39:27Z</dcterms:modified>
</cp:coreProperties>
</file>